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D54B1" w14:textId="77777777" w:rsidR="00E66558" w:rsidRDefault="009D71E8">
      <w:pPr>
        <w:pStyle w:val="Heading1"/>
      </w:pPr>
      <w:bookmarkStart w:id="0" w:name="_Toc400361362"/>
      <w:bookmarkStart w:id="1" w:name="_Toc443397153"/>
      <w:bookmarkStart w:id="2" w:name="_Toc357771638"/>
      <w:bookmarkStart w:id="3" w:name="_Toc346793416"/>
      <w:bookmarkStart w:id="4" w:name="_Toc328122777"/>
      <w:r>
        <w:t>Pupil premium strategy statement</w:t>
      </w:r>
      <w:bookmarkStart w:id="5" w:name="_Toc338167830"/>
      <w:bookmarkStart w:id="6" w:name="_Toc361136403"/>
      <w:bookmarkStart w:id="7" w:name="_Toc364235708"/>
      <w:bookmarkStart w:id="8" w:name="_Toc364235752"/>
      <w:bookmarkStart w:id="9" w:name="_Toc364235834"/>
      <w:bookmarkStart w:id="10" w:name="_Toc364840099"/>
      <w:bookmarkStart w:id="11" w:name="_Toc364864309"/>
      <w:bookmarkStart w:id="12" w:name="_Toc400361364"/>
      <w:bookmarkStart w:id="13" w:name="_Toc443397154"/>
      <w:bookmarkEnd w:id="0"/>
      <w:bookmarkEnd w:id="1"/>
    </w:p>
    <w:p w14:paraId="2A7D54B2" w14:textId="7771B3A7" w:rsidR="00E66558" w:rsidRDefault="009D71E8">
      <w:pPr>
        <w:pStyle w:val="Heading2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>This statement details our school’s use of pupil premium (and recovery premium for the 202</w:t>
      </w:r>
      <w:r w:rsidR="002065B4">
        <w:rPr>
          <w:b w:val="0"/>
          <w:bCs/>
          <w:color w:val="auto"/>
          <w:sz w:val="24"/>
          <w:szCs w:val="24"/>
        </w:rPr>
        <w:t>2</w:t>
      </w:r>
      <w:r>
        <w:rPr>
          <w:b w:val="0"/>
          <w:bCs/>
          <w:color w:val="auto"/>
          <w:sz w:val="24"/>
          <w:szCs w:val="24"/>
        </w:rPr>
        <w:t xml:space="preserve"> to 202</w:t>
      </w:r>
      <w:r w:rsidR="002065B4">
        <w:rPr>
          <w:b w:val="0"/>
          <w:bCs/>
          <w:color w:val="auto"/>
          <w:sz w:val="24"/>
          <w:szCs w:val="24"/>
        </w:rPr>
        <w:t>3</w:t>
      </w:r>
      <w:r>
        <w:rPr>
          <w:b w:val="0"/>
          <w:bCs/>
          <w:color w:val="auto"/>
          <w:sz w:val="24"/>
          <w:szCs w:val="24"/>
        </w:rPr>
        <w:t xml:space="preserve"> academic year) funding to help improve the attainment of our disadvantaged pupils. </w:t>
      </w:r>
    </w:p>
    <w:p w14:paraId="2A7D54B3" w14:textId="77777777" w:rsidR="00E66558" w:rsidRDefault="009D71E8">
      <w:pPr>
        <w:pStyle w:val="Heading2"/>
        <w:spacing w:before="240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 xml:space="preserve">It outlines our pupil premium strategy, how we intend to spend the funding in this academic year and the effect that last year’s spending of pupil premium had within our school. </w:t>
      </w:r>
    </w:p>
    <w:p w14:paraId="2A7D54B4" w14:textId="77777777" w:rsidR="00E66558" w:rsidRDefault="009D71E8">
      <w:pPr>
        <w:pStyle w:val="Heading2"/>
      </w:pPr>
      <w:r>
        <w:t>School overview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7"/>
        <w:gridCol w:w="2969"/>
      </w:tblGrid>
      <w:tr w:rsidR="00E66558" w14:paraId="2A7D54B7" w14:textId="77777777" w:rsidTr="7871C2AD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5" w14:textId="77777777" w:rsidR="00E66558" w:rsidRDefault="009D71E8">
            <w:pPr>
              <w:pStyle w:val="TableHeader"/>
              <w:jc w:val="left"/>
            </w:pPr>
            <w:r>
              <w:t>Detail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6" w14:textId="77777777" w:rsidR="00E66558" w:rsidRDefault="009D71E8">
            <w:pPr>
              <w:pStyle w:val="TableHeader"/>
              <w:jc w:val="left"/>
            </w:pPr>
            <w:r>
              <w:t>Data</w:t>
            </w:r>
          </w:p>
        </w:tc>
      </w:tr>
      <w:tr w:rsidR="00E66558" w14:paraId="2A7D54BA" w14:textId="77777777" w:rsidTr="7871C2AD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8" w14:textId="77777777" w:rsidR="00E66558" w:rsidRDefault="009D71E8">
            <w:pPr>
              <w:pStyle w:val="TableRow"/>
            </w:pPr>
            <w:r>
              <w:t>School name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9" w14:textId="30349D48" w:rsidR="00E66558" w:rsidRDefault="002E1DD3">
            <w:pPr>
              <w:pStyle w:val="TableRow"/>
            </w:pPr>
            <w:r>
              <w:t>Dixons Allerton Academy</w:t>
            </w:r>
          </w:p>
        </w:tc>
      </w:tr>
      <w:tr w:rsidR="00E66558" w14:paraId="2A7D54BD" w14:textId="77777777" w:rsidTr="7871C2AD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B" w14:textId="77777777" w:rsidR="00E66558" w:rsidRDefault="009D71E8">
            <w:pPr>
              <w:pStyle w:val="TableRow"/>
            </w:pPr>
            <w:r>
              <w:t xml:space="preserve">Number of pupils in school 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C" w14:textId="1F1F194C" w:rsidR="00E66558" w:rsidRDefault="004C56F4">
            <w:pPr>
              <w:pStyle w:val="TableRow"/>
            </w:pPr>
            <w:r>
              <w:t>1953 (</w:t>
            </w:r>
            <w:r w:rsidR="00E2005F">
              <w:t xml:space="preserve">inc </w:t>
            </w:r>
            <w:r w:rsidR="00B2201A">
              <w:t>26 FTE Nursery)</w:t>
            </w:r>
          </w:p>
        </w:tc>
      </w:tr>
      <w:tr w:rsidR="00E66558" w14:paraId="2A7D54C0" w14:textId="77777777" w:rsidTr="7871C2AD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E" w14:textId="77777777" w:rsidR="00E66558" w:rsidRDefault="009D71E8">
            <w:pPr>
              <w:pStyle w:val="TableRow"/>
            </w:pPr>
            <w:r>
              <w:t>Proportion (%) of pupil premium eligible pupils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F" w14:textId="021FD227" w:rsidR="00E66558" w:rsidRDefault="00B2201A">
            <w:pPr>
              <w:pStyle w:val="TableRow"/>
            </w:pPr>
            <w:r>
              <w:t>26.6%</w:t>
            </w:r>
          </w:p>
        </w:tc>
      </w:tr>
      <w:tr w:rsidR="00E66558" w14:paraId="2A7D54C3" w14:textId="77777777" w:rsidTr="7871C2AD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1" w14:textId="77777777" w:rsidR="00E66558" w:rsidRDefault="009D71E8">
            <w:pPr>
              <w:pStyle w:val="TableRow"/>
            </w:pPr>
            <w:r>
              <w:rPr>
                <w:szCs w:val="22"/>
              </w:rPr>
              <w:t xml:space="preserve">Academic year/years that our current pupil premium strategy plan covers </w:t>
            </w:r>
            <w:r>
              <w:rPr>
                <w:b/>
                <w:bCs/>
                <w:szCs w:val="22"/>
              </w:rPr>
              <w:t>(</w:t>
            </w:r>
            <w:proofErr w:type="gramStart"/>
            <w:r>
              <w:rPr>
                <w:b/>
                <w:bCs/>
                <w:szCs w:val="22"/>
              </w:rPr>
              <w:t>3 year</w:t>
            </w:r>
            <w:proofErr w:type="gramEnd"/>
            <w:r>
              <w:rPr>
                <w:b/>
                <w:bCs/>
                <w:szCs w:val="22"/>
              </w:rPr>
              <w:t xml:space="preserve"> plans are recommended)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2" w14:textId="742A5A40" w:rsidR="00E66558" w:rsidRDefault="00DA0F92">
            <w:pPr>
              <w:pStyle w:val="TableRow"/>
            </w:pPr>
            <w:r>
              <w:t>202</w:t>
            </w:r>
            <w:r w:rsidR="00A024BE">
              <w:t>1/2022 to 2024/2025</w:t>
            </w:r>
          </w:p>
        </w:tc>
      </w:tr>
      <w:tr w:rsidR="00E66558" w14:paraId="2A7D54C6" w14:textId="77777777" w:rsidTr="7871C2AD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4" w14:textId="77777777" w:rsidR="00E66558" w:rsidRDefault="009D71E8">
            <w:pPr>
              <w:pStyle w:val="TableRow"/>
            </w:pPr>
            <w:r>
              <w:rPr>
                <w:szCs w:val="22"/>
              </w:rPr>
              <w:t>Date this statement was published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5" w14:textId="5CDA39BE" w:rsidR="00E66558" w:rsidRDefault="00B33751" w:rsidP="00A04C3D">
            <w:pPr>
              <w:pStyle w:val="TableRow"/>
              <w:ind w:left="0"/>
            </w:pPr>
            <w:r>
              <w:t>December</w:t>
            </w:r>
            <w:r w:rsidR="00B2201A">
              <w:t xml:space="preserve"> 202</w:t>
            </w:r>
            <w:r w:rsidR="00BA1987">
              <w:t>2</w:t>
            </w:r>
          </w:p>
        </w:tc>
      </w:tr>
      <w:tr w:rsidR="00E66558" w14:paraId="2A7D54C9" w14:textId="77777777" w:rsidTr="7871C2AD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7" w14:textId="77777777" w:rsidR="00E66558" w:rsidRDefault="009D71E8">
            <w:pPr>
              <w:pStyle w:val="TableRow"/>
            </w:pPr>
            <w:r>
              <w:rPr>
                <w:szCs w:val="22"/>
              </w:rPr>
              <w:t>Date on which it will be reviewed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8" w14:textId="70C61395" w:rsidR="00E66558" w:rsidRDefault="009317E6" w:rsidP="788B5234">
            <w:pPr>
              <w:pStyle w:val="TableRow"/>
              <w:ind w:left="0"/>
            </w:pPr>
            <w:r>
              <w:t>November</w:t>
            </w:r>
            <w:r w:rsidR="000F2115">
              <w:t xml:space="preserve"> 202</w:t>
            </w:r>
            <w:r w:rsidR="00BA1987">
              <w:t>3</w:t>
            </w:r>
          </w:p>
        </w:tc>
      </w:tr>
      <w:tr w:rsidR="00E66558" w14:paraId="2A7D54CC" w14:textId="77777777" w:rsidTr="7871C2AD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A" w14:textId="77777777" w:rsidR="00E66558" w:rsidRDefault="009D71E8">
            <w:pPr>
              <w:pStyle w:val="TableRow"/>
            </w:pPr>
            <w:r>
              <w:t>Statement authorised by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6E10D" w14:textId="389FF639" w:rsidR="008E70B4" w:rsidRDefault="000F2115" w:rsidP="1F9D241D">
            <w:pPr>
              <w:pStyle w:val="TableRow"/>
              <w:ind w:left="0"/>
            </w:pPr>
            <w:r>
              <w:t>D Carr</w:t>
            </w:r>
          </w:p>
          <w:p w14:paraId="2A7D54CB" w14:textId="082B4C6A" w:rsidR="008E70B4" w:rsidRDefault="000F2115" w:rsidP="1F9D241D">
            <w:pPr>
              <w:pStyle w:val="TableRow"/>
              <w:ind w:left="0"/>
            </w:pPr>
            <w:r>
              <w:t>Principal</w:t>
            </w:r>
          </w:p>
        </w:tc>
      </w:tr>
      <w:tr w:rsidR="00E66558" w14:paraId="2A7D54CF" w14:textId="77777777" w:rsidTr="7871C2AD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D" w14:textId="77777777" w:rsidR="00E66558" w:rsidRDefault="009D71E8">
            <w:pPr>
              <w:pStyle w:val="TableRow"/>
            </w:pPr>
            <w:r>
              <w:t>Pupil premium lead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0537E" w14:textId="77777777" w:rsidR="000F2115" w:rsidRDefault="000F2115" w:rsidP="00A04C3D">
            <w:pPr>
              <w:pStyle w:val="TableRow"/>
              <w:ind w:left="0"/>
            </w:pPr>
            <w:r>
              <w:t>Rebecca Green</w:t>
            </w:r>
            <w:r w:rsidR="003D69BE">
              <w:t>wood</w:t>
            </w:r>
          </w:p>
          <w:p w14:paraId="6E4750A7" w14:textId="77777777" w:rsidR="003D69BE" w:rsidRDefault="003D69BE" w:rsidP="00A04C3D">
            <w:pPr>
              <w:pStyle w:val="TableRow"/>
              <w:ind w:left="0"/>
            </w:pPr>
            <w:r>
              <w:t>Primary Head</w:t>
            </w:r>
          </w:p>
          <w:p w14:paraId="1599CFDA" w14:textId="77777777" w:rsidR="00833C85" w:rsidRDefault="00833C85" w:rsidP="00A04C3D">
            <w:pPr>
              <w:pStyle w:val="TableRow"/>
              <w:ind w:left="0"/>
            </w:pPr>
            <w:r>
              <w:t xml:space="preserve">A Patch </w:t>
            </w:r>
          </w:p>
          <w:p w14:paraId="2A7D54CE" w14:textId="6AB0C5F6" w:rsidR="00833C85" w:rsidRDefault="2CB0FB00" w:rsidP="00A04C3D">
            <w:pPr>
              <w:pStyle w:val="TableRow"/>
              <w:ind w:left="0"/>
            </w:pPr>
            <w:r>
              <w:t>VP Secondary</w:t>
            </w:r>
          </w:p>
        </w:tc>
      </w:tr>
      <w:tr w:rsidR="00E66558" w14:paraId="2A7D54D2" w14:textId="77777777" w:rsidTr="7871C2AD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0" w14:textId="77777777" w:rsidR="00E66558" w:rsidRDefault="009D71E8">
            <w:pPr>
              <w:pStyle w:val="TableRow"/>
            </w:pPr>
            <w:r>
              <w:t xml:space="preserve">Governor </w:t>
            </w:r>
            <w:r>
              <w:rPr>
                <w:szCs w:val="22"/>
              </w:rPr>
              <w:t xml:space="preserve">/ Trustee </w:t>
            </w:r>
            <w:r>
              <w:t>lead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1" w14:textId="17DE5B23" w:rsidR="003D69BE" w:rsidRDefault="003D69BE">
            <w:pPr>
              <w:pStyle w:val="TableRow"/>
            </w:pPr>
          </w:p>
        </w:tc>
      </w:tr>
    </w:tbl>
    <w:bookmarkEnd w:id="2"/>
    <w:bookmarkEnd w:id="3"/>
    <w:bookmarkEnd w:id="4"/>
    <w:p w14:paraId="2A7D54D3" w14:textId="77777777" w:rsidR="00E66558" w:rsidRDefault="009D71E8">
      <w:pPr>
        <w:spacing w:before="480" w:line="240" w:lineRule="auto"/>
        <w:rPr>
          <w:b/>
          <w:color w:val="104F75"/>
          <w:sz w:val="32"/>
          <w:szCs w:val="32"/>
        </w:rPr>
      </w:pPr>
      <w:r>
        <w:rPr>
          <w:b/>
          <w:color w:val="104F75"/>
          <w:sz w:val="32"/>
          <w:szCs w:val="32"/>
        </w:rPr>
        <w:t>Funding overview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6"/>
        <w:gridCol w:w="2970"/>
      </w:tblGrid>
      <w:tr w:rsidR="00E66558" w14:paraId="2A7D54D6" w14:textId="77777777">
        <w:trPr>
          <w:trHeight w:val="3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4" w14:textId="77777777" w:rsidR="00E66558" w:rsidRDefault="009D71E8">
            <w:pPr>
              <w:pStyle w:val="TableRow"/>
            </w:pPr>
            <w:r>
              <w:rPr>
                <w:b/>
              </w:rPr>
              <w:t>Detail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5" w14:textId="77777777" w:rsidR="00E66558" w:rsidRDefault="009D71E8">
            <w:pPr>
              <w:pStyle w:val="TableRow"/>
            </w:pPr>
            <w:r>
              <w:rPr>
                <w:b/>
              </w:rPr>
              <w:t>Amount</w:t>
            </w:r>
          </w:p>
        </w:tc>
      </w:tr>
      <w:tr w:rsidR="00E66558" w14:paraId="2A7D54D9" w14:textId="77777777">
        <w:trPr>
          <w:trHeight w:val="3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7" w14:textId="77777777" w:rsidR="00E66558" w:rsidRDefault="009D71E8">
            <w:pPr>
              <w:pStyle w:val="TableRow"/>
            </w:pPr>
            <w:r>
              <w:t>Pupil premium funding allocation this academic year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D1082" w14:textId="5AA5E023" w:rsidR="00222E7A" w:rsidRDefault="00222E7A">
            <w:pPr>
              <w:pStyle w:val="TableRow"/>
            </w:pPr>
            <w:r>
              <w:t>£1</w:t>
            </w:r>
            <w:r w:rsidR="00B47C59">
              <w:t>26</w:t>
            </w:r>
            <w:r>
              <w:t>,</w:t>
            </w:r>
            <w:r w:rsidR="00B47C59">
              <w:t>035</w:t>
            </w:r>
            <w:r>
              <w:t xml:space="preserve"> (Pri)</w:t>
            </w:r>
          </w:p>
          <w:p w14:paraId="2A7D54D8" w14:textId="3A7EEC91" w:rsidR="00501223" w:rsidRDefault="00501223">
            <w:pPr>
              <w:pStyle w:val="TableRow"/>
            </w:pPr>
            <w:r>
              <w:t>£</w:t>
            </w:r>
            <w:r w:rsidR="00791597">
              <w:t>4</w:t>
            </w:r>
            <w:r w:rsidR="000B4E7C">
              <w:t>37,833</w:t>
            </w:r>
            <w:r w:rsidR="00791597">
              <w:t xml:space="preserve"> (Sec)</w:t>
            </w:r>
          </w:p>
        </w:tc>
      </w:tr>
      <w:tr w:rsidR="00E66558" w14:paraId="2A7D54DC" w14:textId="77777777">
        <w:trPr>
          <w:trHeight w:val="3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A" w14:textId="77777777" w:rsidR="00E66558" w:rsidRDefault="009D71E8">
            <w:pPr>
              <w:pStyle w:val="TableRow"/>
            </w:pPr>
            <w:r>
              <w:t>Recovery premium funding allocation this academic year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B4D28" w14:textId="6FB623C7" w:rsidR="00E66558" w:rsidRDefault="009D71E8">
            <w:pPr>
              <w:pStyle w:val="TableRow"/>
            </w:pPr>
            <w:r>
              <w:t>£</w:t>
            </w:r>
            <w:r w:rsidR="00B57F8E">
              <w:t xml:space="preserve"> </w:t>
            </w:r>
            <w:r w:rsidR="00C823D4">
              <w:t>13,</w:t>
            </w:r>
            <w:r w:rsidR="009C3999">
              <w:t xml:space="preserve">430 </w:t>
            </w:r>
            <w:r w:rsidR="00B57F8E">
              <w:t>(Pri)</w:t>
            </w:r>
          </w:p>
          <w:p w14:paraId="2A7D54DB" w14:textId="5801B9AF" w:rsidR="0025497B" w:rsidRDefault="0025497B">
            <w:pPr>
              <w:pStyle w:val="TableRow"/>
            </w:pPr>
            <w:r>
              <w:t>£</w:t>
            </w:r>
            <w:r w:rsidR="001E7B39">
              <w:t xml:space="preserve"> </w:t>
            </w:r>
            <w:r w:rsidR="009C3999">
              <w:t xml:space="preserve">125, 210 </w:t>
            </w:r>
            <w:r w:rsidR="001E7B39">
              <w:t>(Sec)</w:t>
            </w:r>
          </w:p>
        </w:tc>
      </w:tr>
      <w:tr w:rsidR="00E66558" w14:paraId="2A7D54DF" w14:textId="77777777">
        <w:trPr>
          <w:trHeight w:val="3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D" w14:textId="77777777" w:rsidR="00E66558" w:rsidRDefault="009D71E8">
            <w:pPr>
              <w:pStyle w:val="TableRow"/>
            </w:pPr>
            <w:r>
              <w:t>Pupil premium funding carried forward from previous years (enter £0 if not applicable)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E" w14:textId="094B18A0" w:rsidR="00E66558" w:rsidRDefault="009D71E8">
            <w:pPr>
              <w:pStyle w:val="TableRow"/>
            </w:pPr>
            <w:r>
              <w:t>£</w:t>
            </w:r>
            <w:r w:rsidR="00CF4D4F">
              <w:t>0</w:t>
            </w:r>
          </w:p>
        </w:tc>
      </w:tr>
      <w:tr w:rsidR="00E66558" w14:paraId="2A7D54E3" w14:textId="77777777" w:rsidTr="00627E20">
        <w:trPr>
          <w:trHeight w:val="60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1" w14:textId="29FE0913" w:rsidR="00E66558" w:rsidRPr="00627E20" w:rsidRDefault="009D71E8" w:rsidP="00627E20">
            <w:pPr>
              <w:pStyle w:val="TableRow"/>
              <w:rPr>
                <w:b/>
              </w:rPr>
            </w:pPr>
            <w:r>
              <w:rPr>
                <w:b/>
              </w:rPr>
              <w:t>Total budget for this academic yea</w:t>
            </w:r>
            <w:r w:rsidR="00627E20">
              <w:rPr>
                <w:b/>
              </w:rPr>
              <w:t>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2" w14:textId="7CCDF6F1" w:rsidR="00E66558" w:rsidRDefault="008047EF">
            <w:pPr>
              <w:pStyle w:val="TableRow"/>
            </w:pPr>
            <w:r>
              <w:t>£</w:t>
            </w:r>
            <w:r w:rsidR="007754E8">
              <w:t>702, 508</w:t>
            </w:r>
          </w:p>
        </w:tc>
      </w:tr>
    </w:tbl>
    <w:p w14:paraId="2A7D54E4" w14:textId="77777777" w:rsidR="00E66558" w:rsidRDefault="009D71E8">
      <w:pPr>
        <w:pStyle w:val="Heading1"/>
      </w:pPr>
      <w:r>
        <w:lastRenderedPageBreak/>
        <w:t>Part A: Pupil premium strategy plan</w:t>
      </w:r>
    </w:p>
    <w:p w14:paraId="2A7D54E5" w14:textId="77777777" w:rsidR="00E66558" w:rsidRDefault="009D71E8">
      <w:pPr>
        <w:pStyle w:val="Heading2"/>
      </w:pPr>
      <w:bookmarkStart w:id="14" w:name="_Toc357771640"/>
      <w:bookmarkStart w:id="15" w:name="_Toc346793418"/>
      <w:r>
        <w:t>Statement of intent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86"/>
      </w:tblGrid>
      <w:tr w:rsidR="00E66558" w14:paraId="2A7D54EA" w14:textId="77777777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8489D" w14:textId="77777777" w:rsidR="00C5673E" w:rsidRDefault="00225309" w:rsidP="00FF7175">
            <w:r>
              <w:t>Our intention is that all pupils</w:t>
            </w:r>
            <w:r w:rsidR="004946F6">
              <w:t>, i</w:t>
            </w:r>
            <w:r>
              <w:t xml:space="preserve">rrespective of their background </w:t>
            </w:r>
            <w:r w:rsidR="00EB3FF4">
              <w:t xml:space="preserve">or the challenges they </w:t>
            </w:r>
            <w:r w:rsidR="00B8064D">
              <w:t>face</w:t>
            </w:r>
            <w:r w:rsidR="004946F6">
              <w:t>,</w:t>
            </w:r>
            <w:r w:rsidR="00B8064D">
              <w:t xml:space="preserve"> can </w:t>
            </w:r>
            <w:r w:rsidR="007E13F6">
              <w:t xml:space="preserve">achieve our academy mission </w:t>
            </w:r>
            <w:r w:rsidR="00955B4D">
              <w:t xml:space="preserve">to develop </w:t>
            </w:r>
            <w:r w:rsidR="00085EFA">
              <w:t xml:space="preserve">good moral principles and achieve exceptional outcomes that allow them to have ambitious life choices. </w:t>
            </w:r>
            <w:r w:rsidR="00FA38E1">
              <w:t xml:space="preserve">The focus of this strategy </w:t>
            </w:r>
            <w:r w:rsidR="00F6058A">
              <w:t xml:space="preserve">is to support disadvantaged pupils to achieve </w:t>
            </w:r>
            <w:r w:rsidR="00C83CEE">
              <w:t xml:space="preserve">our mission, including progress for those who are already high achievers. </w:t>
            </w:r>
          </w:p>
          <w:p w14:paraId="225C6457" w14:textId="0F53EF60" w:rsidR="00996253" w:rsidRPr="008D57AD" w:rsidRDefault="00996253" w:rsidP="00210704">
            <w:r w:rsidRPr="008D57AD">
              <w:t xml:space="preserve">Our </w:t>
            </w:r>
            <w:r>
              <w:t>Pupil</w:t>
            </w:r>
            <w:r w:rsidRPr="008D57AD">
              <w:t xml:space="preserve"> Premium s</w:t>
            </w:r>
            <w:r w:rsidR="00210704">
              <w:t>trategy</w:t>
            </w:r>
            <w:r w:rsidRPr="008D57AD">
              <w:t xml:space="preserve"> is divided into the following four priority areas:</w:t>
            </w:r>
          </w:p>
          <w:p w14:paraId="44EB74BD" w14:textId="77777777" w:rsidR="00DA5515" w:rsidRPr="008D57AD" w:rsidRDefault="00DA5515" w:rsidP="00210704">
            <w:pPr>
              <w:pStyle w:val="ListParagraph"/>
            </w:pPr>
            <w:r w:rsidRPr="008D57AD">
              <w:t>Quality first teaching and harnessing the power of feedback</w:t>
            </w:r>
          </w:p>
          <w:p w14:paraId="69B71EEF" w14:textId="77777777" w:rsidR="002F047A" w:rsidRPr="008D57AD" w:rsidRDefault="002F047A" w:rsidP="00210704">
            <w:pPr>
              <w:pStyle w:val="ListParagraph"/>
            </w:pPr>
            <w:r w:rsidRPr="008D57AD">
              <w:t>Highly tailored interventions and more time</w:t>
            </w:r>
          </w:p>
          <w:p w14:paraId="01555360" w14:textId="77777777" w:rsidR="00C05B5B" w:rsidRPr="001015B8" w:rsidRDefault="00C05B5B" w:rsidP="00210704">
            <w:pPr>
              <w:pStyle w:val="ListParagraph"/>
              <w:rPr>
                <w:rFonts w:eastAsiaTheme="minorHAnsi" w:cs="Arial"/>
                <w:sz w:val="19"/>
                <w:szCs w:val="19"/>
              </w:rPr>
            </w:pPr>
            <w:r w:rsidRPr="008D57AD">
              <w:t>Minimising barriers to achievement</w:t>
            </w:r>
          </w:p>
          <w:p w14:paraId="10EE87C0" w14:textId="77777777" w:rsidR="004E1306" w:rsidRPr="008D57AD" w:rsidRDefault="004E1306" w:rsidP="00210704">
            <w:pPr>
              <w:pStyle w:val="ListParagraph"/>
            </w:pPr>
            <w:r>
              <w:t>Keeping aspirations on track</w:t>
            </w:r>
            <w:r w:rsidRPr="008D57AD">
              <w:t xml:space="preserve"> and broadening experiences</w:t>
            </w:r>
          </w:p>
          <w:p w14:paraId="70F19DF4" w14:textId="6AB00005" w:rsidR="002C5B8B" w:rsidRDefault="0026032F" w:rsidP="002C5B8B">
            <w:pPr>
              <w:rPr>
                <w:iCs/>
                <w:color w:val="auto"/>
                <w:lang w:val="en-US"/>
              </w:rPr>
            </w:pPr>
            <w:r>
              <w:rPr>
                <w:rFonts w:cs="Arial"/>
                <w:iCs/>
                <w:color w:val="auto"/>
                <w:lang w:val="en-US"/>
              </w:rPr>
              <w:t>Quality</w:t>
            </w:r>
            <w:r w:rsidR="0038707E">
              <w:rPr>
                <w:rFonts w:cs="Arial"/>
                <w:iCs/>
                <w:color w:val="auto"/>
                <w:lang w:val="en-US"/>
              </w:rPr>
              <w:t xml:space="preserve"> first</w:t>
            </w:r>
            <w:r w:rsidR="00FF7175" w:rsidRPr="00E27862">
              <w:rPr>
                <w:rFonts w:cs="Arial"/>
                <w:iCs/>
                <w:color w:val="auto"/>
                <w:lang w:val="en-US"/>
              </w:rPr>
              <w:t xml:space="preserve"> teaching is at the heart of our approach, with a focus on areas in which disadvantaged pupils require the most support.</w:t>
            </w:r>
            <w:r w:rsidR="008331B4" w:rsidRPr="008D57AD">
              <w:rPr>
                <w:rFonts w:cstheme="minorHAnsi"/>
                <w:sz w:val="19"/>
                <w:szCs w:val="19"/>
              </w:rPr>
              <w:t xml:space="preserve"> </w:t>
            </w:r>
            <w:r w:rsidR="008331B4" w:rsidRPr="008331B4">
              <w:t xml:space="preserve">We understand the importance of ensuring that all teaching meets the needs of each learner, rather than relying on interventions to compensate. </w:t>
            </w:r>
            <w:r w:rsidR="003073FD" w:rsidRPr="00E27862">
              <w:rPr>
                <w:rFonts w:cs="Arial"/>
                <w:iCs/>
                <w:color w:val="auto"/>
                <w:lang w:val="en-US"/>
              </w:rPr>
              <w:t xml:space="preserve">Our approach will be responsive to common challenges and individual needs, </w:t>
            </w:r>
            <w:r w:rsidR="009024F6">
              <w:rPr>
                <w:rFonts w:cs="Arial"/>
                <w:iCs/>
                <w:color w:val="auto"/>
                <w:lang w:val="en-US"/>
              </w:rPr>
              <w:t>driven by</w:t>
            </w:r>
            <w:r w:rsidR="003073FD" w:rsidRPr="00E27862">
              <w:rPr>
                <w:rFonts w:cs="Arial"/>
                <w:iCs/>
                <w:color w:val="auto"/>
                <w:lang w:val="en-US"/>
              </w:rPr>
              <w:t xml:space="preserve"> robust diagnostic assessment, not assumptions about the impact of disadvantage</w:t>
            </w:r>
            <w:r w:rsidR="003E69F0">
              <w:rPr>
                <w:rFonts w:cs="Arial"/>
                <w:iCs/>
                <w:color w:val="auto"/>
                <w:lang w:val="en-US"/>
              </w:rPr>
              <w:t>.</w:t>
            </w:r>
            <w:r w:rsidR="002C5B8B">
              <w:rPr>
                <w:iCs/>
                <w:color w:val="auto"/>
                <w:lang w:val="en-US"/>
              </w:rPr>
              <w:t xml:space="preserve"> Across all phases of the academy, and in every lesson, students </w:t>
            </w:r>
            <w:r w:rsidR="0021174A">
              <w:rPr>
                <w:iCs/>
                <w:color w:val="auto"/>
                <w:lang w:val="en-US"/>
              </w:rPr>
              <w:t>will be</w:t>
            </w:r>
            <w:r w:rsidR="002C5B8B">
              <w:rPr>
                <w:iCs/>
                <w:color w:val="auto"/>
                <w:lang w:val="en-US"/>
              </w:rPr>
              <w:t xml:space="preserve"> supported to think and improve in response to astute feedback. </w:t>
            </w:r>
            <w:r w:rsidR="00BD0BC7">
              <w:t>W</w:t>
            </w:r>
            <w:r w:rsidR="00BD0BC7" w:rsidRPr="008331B4">
              <w:t xml:space="preserve">e </w:t>
            </w:r>
            <w:r w:rsidR="00BD0BC7">
              <w:t xml:space="preserve">will ensure that our daily practice is of a consistently high standard and invest in </w:t>
            </w:r>
            <w:r w:rsidR="00BD0BC7" w:rsidRPr="008331B4">
              <w:t xml:space="preserve">teacher talent by </w:t>
            </w:r>
            <w:r w:rsidR="00BD0BC7">
              <w:t>delivering a bespoke program of</w:t>
            </w:r>
            <w:r w:rsidR="00BD0BC7" w:rsidRPr="008331B4">
              <w:t xml:space="preserve"> practice and coaching.</w:t>
            </w:r>
          </w:p>
          <w:p w14:paraId="4C949705" w14:textId="64DFAB71" w:rsidR="009A3684" w:rsidRDefault="009A3684" w:rsidP="009A3684">
            <w:r w:rsidRPr="008D57AD">
              <w:t xml:space="preserve">We have thought carefully about what barriers to learning our </w:t>
            </w:r>
            <w:r>
              <w:t>children</w:t>
            </w:r>
            <w:r w:rsidRPr="008D57AD">
              <w:t xml:space="preserve"> are experiencing, and how to remov</w:t>
            </w:r>
            <w:r>
              <w:t xml:space="preserve">e or, at least, minimise them.  We </w:t>
            </w:r>
            <w:r w:rsidR="00AC3006">
              <w:t xml:space="preserve">will </w:t>
            </w:r>
            <w:r>
              <w:t>employ additional staff</w:t>
            </w:r>
            <w:r w:rsidRPr="001015B8">
              <w:t xml:space="preserve"> to provide well-targeted support to improve attendance, behaviour, social and emotional wellbeing</w:t>
            </w:r>
            <w:r>
              <w:t>.</w:t>
            </w:r>
            <w:r w:rsidRPr="001015B8">
              <w:t xml:space="preserve"> </w:t>
            </w:r>
            <w:r>
              <w:t>The academy recognises the vital link between home and school</w:t>
            </w:r>
            <w:r w:rsidR="00374F19">
              <w:t xml:space="preserve"> and will continue to </w:t>
            </w:r>
            <w:r w:rsidR="008E2ECB">
              <w:t xml:space="preserve">strengthen parental </w:t>
            </w:r>
            <w:r w:rsidR="00193A4B">
              <w:t>engagement</w:t>
            </w:r>
            <w:r w:rsidR="00380135">
              <w:t xml:space="preserve">. </w:t>
            </w:r>
          </w:p>
          <w:p w14:paraId="2A7D54E9" w14:textId="6A6647CA" w:rsidR="004304FB" w:rsidRPr="00A7575F" w:rsidRDefault="0086718E" w:rsidP="00FE61F5">
            <w:pPr>
              <w:rPr>
                <w:rFonts w:cstheme="minorHAnsi"/>
              </w:rPr>
            </w:pPr>
            <w:r w:rsidRPr="008754EF">
              <w:t xml:space="preserve">A high proportion of our </w:t>
            </w:r>
            <w:r>
              <w:t>children</w:t>
            </w:r>
            <w:r w:rsidRPr="008754EF">
              <w:t xml:space="preserve"> come from the most deprived wards in Bradford, which in turn is one of the UK’s most significant areas of socio-economic challenge.  Our priority is to raise aspirations, encourage young people to have a growth mind-set, and to progress onto higher education.  The me</w:t>
            </w:r>
            <w:r>
              <w:t xml:space="preserve">ssage throughout the </w:t>
            </w:r>
            <w:r w:rsidR="00273EB8">
              <w:t>academy</w:t>
            </w:r>
            <w:r w:rsidRPr="008754EF">
              <w:t xml:space="preserve"> is that everybody is the best in the world at something.  Teachers talk to </w:t>
            </w:r>
            <w:r>
              <w:t>children</w:t>
            </w:r>
            <w:r w:rsidRPr="008754EF">
              <w:t xml:space="preserve"> about ‘being experts’ and working hard is a closer step towards the goal each day.  We </w:t>
            </w:r>
            <w:r w:rsidR="000618AE">
              <w:t xml:space="preserve">will </w:t>
            </w:r>
            <w:r w:rsidRPr="008754EF">
              <w:t xml:space="preserve">expose </w:t>
            </w:r>
            <w:r w:rsidR="00816C2F">
              <w:t>our</w:t>
            </w:r>
            <w:r w:rsidRPr="008754EF">
              <w:t xml:space="preserve"> children to as many inspiring careers, </w:t>
            </w:r>
            <w:proofErr w:type="gramStart"/>
            <w:r w:rsidRPr="008754EF">
              <w:t>experiences</w:t>
            </w:r>
            <w:proofErr w:type="gramEnd"/>
            <w:r w:rsidRPr="008754EF">
              <w:t xml:space="preserve"> and ideas as we can to raise their aspirations</w:t>
            </w:r>
            <w:r w:rsidR="007314DE">
              <w:t xml:space="preserve"> and broaden their knowledge and understanding of the world.</w:t>
            </w:r>
          </w:p>
        </w:tc>
      </w:tr>
    </w:tbl>
    <w:p w14:paraId="2A7D54EB" w14:textId="5EC7FBBD" w:rsidR="00E66558" w:rsidRDefault="00E66558">
      <w:pPr>
        <w:pStyle w:val="Heading2"/>
        <w:spacing w:before="600"/>
      </w:pPr>
    </w:p>
    <w:p w14:paraId="2A7D54EC" w14:textId="77777777" w:rsidR="00E66558" w:rsidRDefault="009D71E8" w:rsidP="009C6FC2">
      <w:pPr>
        <w:spacing w:line="240" w:lineRule="auto"/>
        <w:textAlignment w:val="baseline"/>
        <w:outlineLvl w:val="0"/>
      </w:pPr>
      <w:r>
        <w:rPr>
          <w:bCs/>
          <w:color w:val="auto"/>
        </w:rPr>
        <w:t>This details</w:t>
      </w:r>
      <w:r>
        <w:rPr>
          <w:color w:val="auto"/>
        </w:rPr>
        <w:t xml:space="preserve"> the key</w:t>
      </w:r>
      <w:r>
        <w:rPr>
          <w:bCs/>
          <w:color w:val="auto"/>
        </w:rPr>
        <w:t xml:space="preserve"> </w:t>
      </w:r>
      <w:r>
        <w:rPr>
          <w:color w:val="auto"/>
        </w:rPr>
        <w:t xml:space="preserve">challenges to </w:t>
      </w:r>
      <w:r>
        <w:rPr>
          <w:bCs/>
          <w:color w:val="auto"/>
        </w:rPr>
        <w:t>achievement that we have</w:t>
      </w:r>
      <w:r>
        <w:rPr>
          <w:color w:val="auto"/>
        </w:rPr>
        <w:t xml:space="preserve"> identified among </w:t>
      </w:r>
      <w:r>
        <w:rPr>
          <w:bCs/>
          <w:color w:val="auto"/>
        </w:rPr>
        <w:t>our</w:t>
      </w:r>
      <w:r>
        <w:rPr>
          <w:color w:val="auto"/>
        </w:rPr>
        <w:t xml:space="preserve"> disadvantaged pupils.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7"/>
        <w:gridCol w:w="8009"/>
      </w:tblGrid>
      <w:tr w:rsidR="00E66558" w14:paraId="2A7D54EF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D" w14:textId="77777777" w:rsidR="00E66558" w:rsidRDefault="009D71E8">
            <w:pPr>
              <w:pStyle w:val="TableHeader"/>
              <w:jc w:val="left"/>
            </w:pPr>
            <w:r>
              <w:t>Challenge number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E" w14:textId="77777777" w:rsidR="00E66558" w:rsidRDefault="009D71E8">
            <w:pPr>
              <w:pStyle w:val="TableHeader"/>
              <w:jc w:val="left"/>
            </w:pPr>
            <w:r>
              <w:t xml:space="preserve">Detail of challenge </w:t>
            </w:r>
          </w:p>
        </w:tc>
      </w:tr>
      <w:tr w:rsidR="00E66558" w14:paraId="2A7D54F2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0" w14:textId="77777777" w:rsidR="00E66558" w:rsidRDefault="009D71E8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1" w14:textId="60BB8D9C" w:rsidR="00E66558" w:rsidRPr="00956AB9" w:rsidRDefault="00FF4F49" w:rsidP="00D65412">
            <w:pPr>
              <w:pStyle w:val="TableRowCentered"/>
              <w:ind w:left="0"/>
              <w:jc w:val="left"/>
            </w:pPr>
            <w:r w:rsidRPr="00E27862">
              <w:rPr>
                <w:rFonts w:cs="Arial"/>
                <w:iCs/>
                <w:color w:val="auto"/>
                <w:lang w:val="en-US"/>
              </w:rPr>
              <w:t>Assessment</w:t>
            </w:r>
            <w:r w:rsidR="00E40571">
              <w:rPr>
                <w:rFonts w:cs="Arial"/>
                <w:iCs/>
                <w:color w:val="auto"/>
                <w:lang w:val="en-US"/>
              </w:rPr>
              <w:t>s indicate that many of our children</w:t>
            </w:r>
            <w:r w:rsidR="00BF199B">
              <w:rPr>
                <w:rFonts w:cs="Arial"/>
                <w:iCs/>
                <w:color w:val="auto"/>
                <w:lang w:val="en-US"/>
              </w:rPr>
              <w:t>, particularly our most disadvantaged</w:t>
            </w:r>
            <w:r w:rsidR="00055455">
              <w:rPr>
                <w:rFonts w:cs="Arial"/>
                <w:iCs/>
                <w:color w:val="auto"/>
                <w:lang w:val="en-US"/>
              </w:rPr>
              <w:t>,</w:t>
            </w:r>
            <w:r w:rsidR="00BF199B">
              <w:rPr>
                <w:rFonts w:cs="Arial"/>
                <w:iCs/>
                <w:color w:val="auto"/>
                <w:lang w:val="en-US"/>
              </w:rPr>
              <w:t xml:space="preserve"> have communication and language skills that are </w:t>
            </w:r>
            <w:r w:rsidR="00FA37D6">
              <w:rPr>
                <w:rFonts w:cs="Arial"/>
                <w:iCs/>
                <w:color w:val="auto"/>
                <w:lang w:val="en-US"/>
              </w:rPr>
              <w:t>underdeveloped</w:t>
            </w:r>
            <w:r w:rsidRPr="00E27862">
              <w:rPr>
                <w:rFonts w:cs="Arial"/>
                <w:iCs/>
                <w:color w:val="auto"/>
                <w:lang w:val="en-US"/>
              </w:rPr>
              <w:t>. Th</w:t>
            </w:r>
            <w:r w:rsidR="00055455">
              <w:rPr>
                <w:rFonts w:cs="Arial"/>
                <w:iCs/>
                <w:color w:val="auto"/>
                <w:lang w:val="en-US"/>
              </w:rPr>
              <w:t>is</w:t>
            </w:r>
            <w:r w:rsidRPr="00E27862">
              <w:rPr>
                <w:rFonts w:cs="Arial"/>
                <w:iCs/>
                <w:color w:val="auto"/>
                <w:lang w:val="en-US"/>
              </w:rPr>
              <w:t xml:space="preserve"> </w:t>
            </w:r>
            <w:r w:rsidR="00055455">
              <w:rPr>
                <w:rFonts w:cs="Arial"/>
                <w:iCs/>
                <w:color w:val="auto"/>
                <w:lang w:val="en-US"/>
              </w:rPr>
              <w:t>is</w:t>
            </w:r>
            <w:r w:rsidRPr="00E27862">
              <w:rPr>
                <w:rFonts w:cs="Arial"/>
                <w:iCs/>
                <w:color w:val="auto"/>
                <w:lang w:val="en-US"/>
              </w:rPr>
              <w:t xml:space="preserve"> evident from Reception through to KS2 and</w:t>
            </w:r>
            <w:r w:rsidR="00416AE5">
              <w:rPr>
                <w:rFonts w:cs="Arial"/>
                <w:iCs/>
                <w:color w:val="auto"/>
                <w:lang w:val="en-US"/>
              </w:rPr>
              <w:t xml:space="preserve"> </w:t>
            </w:r>
            <w:r w:rsidR="00115A6B">
              <w:rPr>
                <w:rFonts w:cs="Arial"/>
                <w:iCs/>
                <w:color w:val="auto"/>
                <w:lang w:val="en-US"/>
              </w:rPr>
              <w:t>the</w:t>
            </w:r>
            <w:r w:rsidR="00526C89">
              <w:rPr>
                <w:rFonts w:cs="Arial"/>
                <w:iCs/>
                <w:color w:val="auto"/>
                <w:lang w:val="en-US"/>
              </w:rPr>
              <w:t xml:space="preserve"> </w:t>
            </w:r>
            <w:r w:rsidR="00416AE5">
              <w:rPr>
                <w:rFonts w:cs="Arial"/>
                <w:iCs/>
                <w:color w:val="auto"/>
                <w:lang w:val="en-US"/>
              </w:rPr>
              <w:t>result of families with</w:t>
            </w:r>
            <w:r w:rsidR="00526C89">
              <w:rPr>
                <w:rFonts w:cs="Arial"/>
                <w:iCs/>
                <w:color w:val="auto"/>
                <w:lang w:val="en-US"/>
              </w:rPr>
              <w:t xml:space="preserve"> </w:t>
            </w:r>
            <w:r w:rsidR="00416AE5">
              <w:rPr>
                <w:rFonts w:cs="Arial"/>
                <w:iCs/>
                <w:color w:val="auto"/>
                <w:lang w:val="en-US"/>
              </w:rPr>
              <w:t xml:space="preserve">limited life </w:t>
            </w:r>
            <w:r w:rsidR="00FA37D6">
              <w:rPr>
                <w:rFonts w:cs="Arial"/>
                <w:iCs/>
                <w:color w:val="auto"/>
                <w:lang w:val="en-US"/>
              </w:rPr>
              <w:t>experiences</w:t>
            </w:r>
            <w:r w:rsidR="00526C89">
              <w:rPr>
                <w:rFonts w:cs="Arial"/>
                <w:iCs/>
                <w:color w:val="auto"/>
                <w:lang w:val="en-US"/>
              </w:rPr>
              <w:t xml:space="preserve"> and limited spoken English at home.</w:t>
            </w:r>
            <w:r w:rsidR="00FA37D6">
              <w:rPr>
                <w:rFonts w:cs="Arial"/>
                <w:iCs/>
                <w:color w:val="auto"/>
                <w:lang w:val="en-US"/>
              </w:rPr>
              <w:t xml:space="preserve"> </w:t>
            </w:r>
          </w:p>
        </w:tc>
      </w:tr>
      <w:tr w:rsidR="002B2451" w14:paraId="71F07B12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ADF70" w14:textId="6BB7CE60" w:rsidR="002B2451" w:rsidRDefault="002B2451" w:rsidP="002B2451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A9485" w14:textId="46126B7C" w:rsidR="002B2451" w:rsidRPr="00956AB9" w:rsidRDefault="002B2451" w:rsidP="002B2451">
            <w:pPr>
              <w:pStyle w:val="TableRowCentered"/>
              <w:ind w:left="0"/>
              <w:jc w:val="left"/>
            </w:pPr>
            <w:r w:rsidRPr="00E27862">
              <w:rPr>
                <w:color w:val="auto"/>
                <w:lang w:val="en-US"/>
              </w:rPr>
              <w:t>Assessments</w:t>
            </w:r>
            <w:r w:rsidR="009B11A3">
              <w:rPr>
                <w:color w:val="auto"/>
                <w:lang w:val="en-US"/>
              </w:rPr>
              <w:t xml:space="preserve"> confirm that </w:t>
            </w:r>
            <w:r w:rsidR="00C972D0">
              <w:rPr>
                <w:color w:val="auto"/>
                <w:lang w:val="en-US"/>
              </w:rPr>
              <w:t xml:space="preserve">our </w:t>
            </w:r>
            <w:r w:rsidR="00ED56C6">
              <w:rPr>
                <w:color w:val="auto"/>
                <w:lang w:val="en-US"/>
              </w:rPr>
              <w:t xml:space="preserve">youngest </w:t>
            </w:r>
            <w:r w:rsidR="00306EC3">
              <w:rPr>
                <w:color w:val="auto"/>
                <w:lang w:val="en-US"/>
              </w:rPr>
              <w:t xml:space="preserve">disadvantaged </w:t>
            </w:r>
            <w:r w:rsidR="00ED56C6">
              <w:rPr>
                <w:color w:val="auto"/>
                <w:lang w:val="en-US"/>
              </w:rPr>
              <w:t xml:space="preserve">children </w:t>
            </w:r>
            <w:r w:rsidR="00642612">
              <w:rPr>
                <w:color w:val="auto"/>
                <w:lang w:val="en-US"/>
              </w:rPr>
              <w:t xml:space="preserve">need additional support </w:t>
            </w:r>
            <w:r w:rsidR="004D287B">
              <w:rPr>
                <w:color w:val="auto"/>
                <w:lang w:val="en-US"/>
              </w:rPr>
              <w:t xml:space="preserve">with Phonics. Whilst historically, a high proportion of children meet the expected standard in the PSC, </w:t>
            </w:r>
            <w:r w:rsidR="00060911">
              <w:rPr>
                <w:color w:val="auto"/>
                <w:lang w:val="en-US"/>
              </w:rPr>
              <w:t xml:space="preserve">our most disadvantaged children </w:t>
            </w:r>
            <w:r w:rsidR="00306EC3">
              <w:rPr>
                <w:color w:val="auto"/>
                <w:lang w:val="en-US"/>
              </w:rPr>
              <w:t xml:space="preserve">need significant intervention </w:t>
            </w:r>
            <w:proofErr w:type="gramStart"/>
            <w:r w:rsidR="00306EC3">
              <w:rPr>
                <w:color w:val="auto"/>
                <w:lang w:val="en-US"/>
              </w:rPr>
              <w:t>in order to</w:t>
            </w:r>
            <w:proofErr w:type="gramEnd"/>
            <w:r w:rsidR="00306EC3">
              <w:rPr>
                <w:color w:val="auto"/>
                <w:lang w:val="en-US"/>
              </w:rPr>
              <w:t xml:space="preserve"> achieve. </w:t>
            </w:r>
          </w:p>
        </w:tc>
      </w:tr>
      <w:tr w:rsidR="002B2451" w14:paraId="2A7D54F5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3" w14:textId="057534CF" w:rsidR="002B2451" w:rsidRDefault="002B2451" w:rsidP="002B2451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4" w14:textId="2E600B0A" w:rsidR="002B2451" w:rsidRPr="00DF4770" w:rsidRDefault="00177ABA" w:rsidP="00DF4770">
            <w:pPr>
              <w:suppressAutoHyphens w:val="0"/>
              <w:autoSpaceDN/>
              <w:spacing w:before="60" w:after="120" w:line="240" w:lineRule="auto"/>
              <w:ind w:left="57" w:right="57"/>
              <w:rPr>
                <w:iCs/>
                <w:color w:val="auto"/>
                <w:lang w:val="en-US"/>
              </w:rPr>
            </w:pPr>
            <w:r>
              <w:rPr>
                <w:rFonts w:cs="Arial"/>
                <w:iCs/>
                <w:color w:val="auto"/>
                <w:lang w:val="en-US"/>
              </w:rPr>
              <w:t xml:space="preserve">Assessments indicate that </w:t>
            </w:r>
            <w:r w:rsidR="0019540E">
              <w:rPr>
                <w:rFonts w:cs="Arial"/>
                <w:iCs/>
                <w:color w:val="auto"/>
                <w:lang w:val="en-US"/>
              </w:rPr>
              <w:t>attainment in Maths is low</w:t>
            </w:r>
            <w:r w:rsidR="00D26099">
              <w:rPr>
                <w:rFonts w:cs="Arial"/>
                <w:iCs/>
                <w:color w:val="auto"/>
                <w:lang w:val="en-US"/>
              </w:rPr>
              <w:t xml:space="preserve"> for our disadvantaged children. </w:t>
            </w:r>
            <w:r w:rsidR="0069362A" w:rsidRPr="00E27862">
              <w:rPr>
                <w:iCs/>
                <w:color w:val="auto"/>
                <w:lang w:val="en-US"/>
              </w:rPr>
              <w:t xml:space="preserve"> </w:t>
            </w:r>
          </w:p>
        </w:tc>
      </w:tr>
      <w:tr w:rsidR="002B2451" w14:paraId="2A7D54F8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6" w14:textId="5A1C0AD6" w:rsidR="002B2451" w:rsidRDefault="002B2451" w:rsidP="002B2451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5EDB9" w14:textId="0D4B907C" w:rsidR="004F0DE2" w:rsidRPr="00E27862" w:rsidRDefault="004F0DE2" w:rsidP="004F0DE2">
            <w:pPr>
              <w:suppressAutoHyphens w:val="0"/>
              <w:autoSpaceDN/>
              <w:spacing w:before="60" w:after="120" w:line="240" w:lineRule="auto"/>
              <w:ind w:left="57" w:right="57"/>
              <w:rPr>
                <w:rFonts w:cs="Arial"/>
                <w:color w:val="auto"/>
              </w:rPr>
            </w:pPr>
            <w:r w:rsidRPr="00E27862">
              <w:rPr>
                <w:rFonts w:cs="Arial"/>
                <w:iCs/>
                <w:color w:val="auto"/>
              </w:rPr>
              <w:t>Our assessments and observations</w:t>
            </w:r>
            <w:r w:rsidR="00D26099">
              <w:rPr>
                <w:rFonts w:cs="Arial"/>
                <w:iCs/>
                <w:color w:val="auto"/>
              </w:rPr>
              <w:t xml:space="preserve"> and </w:t>
            </w:r>
            <w:r w:rsidR="0038457A">
              <w:rPr>
                <w:rFonts w:cs="Arial"/>
                <w:iCs/>
                <w:color w:val="auto"/>
              </w:rPr>
              <w:t xml:space="preserve">discussions with families </w:t>
            </w:r>
            <w:r w:rsidRPr="00E27862">
              <w:rPr>
                <w:rFonts w:cs="Arial"/>
                <w:iCs/>
                <w:color w:val="auto"/>
              </w:rPr>
              <w:t>indicate</w:t>
            </w:r>
            <w:r w:rsidR="0038457A">
              <w:rPr>
                <w:rFonts w:cs="Arial"/>
                <w:iCs/>
                <w:color w:val="auto"/>
              </w:rPr>
              <w:t>s</w:t>
            </w:r>
            <w:r w:rsidRPr="00E27862">
              <w:rPr>
                <w:rFonts w:cs="Arial"/>
                <w:iCs/>
                <w:color w:val="auto"/>
              </w:rPr>
              <w:t xml:space="preserve"> that the wellbeing</w:t>
            </w:r>
            <w:r w:rsidR="00713A9B">
              <w:rPr>
                <w:rFonts w:cs="Arial"/>
                <w:iCs/>
                <w:color w:val="auto"/>
              </w:rPr>
              <w:t xml:space="preserve"> (inc social and emotional need)</w:t>
            </w:r>
            <w:r w:rsidRPr="00E27862">
              <w:rPr>
                <w:rFonts w:cs="Arial"/>
                <w:iCs/>
                <w:color w:val="auto"/>
              </w:rPr>
              <w:t xml:space="preserve"> of m</w:t>
            </w:r>
            <w:r w:rsidRPr="00E27862">
              <w:rPr>
                <w:rFonts w:cs="Arial"/>
                <w:color w:val="auto"/>
              </w:rPr>
              <w:t>any of our disadvantaged pupils h</w:t>
            </w:r>
            <w:r w:rsidR="00B26436">
              <w:rPr>
                <w:rFonts w:cs="Arial"/>
                <w:color w:val="auto"/>
              </w:rPr>
              <w:t>as</w:t>
            </w:r>
            <w:r w:rsidR="00DA10EB">
              <w:rPr>
                <w:rFonts w:cs="Arial"/>
                <w:color w:val="auto"/>
              </w:rPr>
              <w:t xml:space="preserve"> been negatively </w:t>
            </w:r>
            <w:r w:rsidR="00B26436">
              <w:rPr>
                <w:rFonts w:cs="Arial"/>
                <w:color w:val="auto"/>
              </w:rPr>
              <w:t>affected</w:t>
            </w:r>
            <w:r w:rsidR="00DA10EB">
              <w:rPr>
                <w:rFonts w:cs="Arial"/>
                <w:color w:val="auto"/>
              </w:rPr>
              <w:t xml:space="preserve"> </w:t>
            </w:r>
            <w:r w:rsidR="00B26436">
              <w:rPr>
                <w:rFonts w:cs="Arial"/>
                <w:color w:val="auto"/>
              </w:rPr>
              <w:t>by</w:t>
            </w:r>
            <w:r w:rsidR="00DA10EB">
              <w:rPr>
                <w:rFonts w:cs="Arial"/>
                <w:color w:val="auto"/>
              </w:rPr>
              <w:t xml:space="preserve"> the recent pandemic. </w:t>
            </w:r>
            <w:r w:rsidR="004B17DD">
              <w:rPr>
                <w:rFonts w:cs="Arial"/>
                <w:color w:val="auto"/>
              </w:rPr>
              <w:t xml:space="preserve">Isolation and </w:t>
            </w:r>
            <w:r w:rsidR="00CF2BC1">
              <w:rPr>
                <w:rFonts w:cs="Arial"/>
                <w:color w:val="auto"/>
              </w:rPr>
              <w:t xml:space="preserve">lack of opportunity to socialise outside of the family home has meant that children have found the return to school particularly challenging. </w:t>
            </w:r>
          </w:p>
          <w:p w14:paraId="2A7D54F7" w14:textId="6756696D" w:rsidR="002B2451" w:rsidRPr="00956AB9" w:rsidRDefault="00713A9B" w:rsidP="004F0DE2">
            <w:pPr>
              <w:pStyle w:val="TableRowCentered"/>
              <w:ind w:left="0"/>
              <w:jc w:val="left"/>
            </w:pPr>
            <w:r>
              <w:t xml:space="preserve">Referrals to our pastoral team for SEMH have increased </w:t>
            </w:r>
            <w:r w:rsidR="00115A6B">
              <w:t xml:space="preserve">significantly upon the return to school. </w:t>
            </w:r>
          </w:p>
        </w:tc>
      </w:tr>
      <w:tr w:rsidR="002B2451" w14:paraId="2A7D54FB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9" w14:textId="212BED78" w:rsidR="002B2451" w:rsidRDefault="002B2451" w:rsidP="002B2451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A" w14:textId="48042BE0" w:rsidR="002B2451" w:rsidRPr="00956AB9" w:rsidRDefault="008B6B9D" w:rsidP="002B2451">
            <w:pPr>
              <w:pStyle w:val="TableRowCentered"/>
              <w:ind w:left="0"/>
              <w:jc w:val="left"/>
              <w:rPr>
                <w:iCs/>
              </w:rPr>
            </w:pPr>
            <w:r w:rsidRPr="003D38E5">
              <w:rPr>
                <w:iCs/>
              </w:rPr>
              <w:t xml:space="preserve">Many of our disadvantaged children face multiple barriers to learning. </w:t>
            </w:r>
            <w:r w:rsidR="003D38E5" w:rsidRPr="003D38E5">
              <w:rPr>
                <w:iCs/>
              </w:rPr>
              <w:t>A large proportion</w:t>
            </w:r>
            <w:r w:rsidR="001E5E5F" w:rsidRPr="003D38E5">
              <w:rPr>
                <w:iCs/>
              </w:rPr>
              <w:t xml:space="preserve"> are being supported by social</w:t>
            </w:r>
            <w:r w:rsidR="00911968" w:rsidRPr="003D38E5">
              <w:rPr>
                <w:iCs/>
              </w:rPr>
              <w:t xml:space="preserve"> care</w:t>
            </w:r>
            <w:r w:rsidR="003D38E5" w:rsidRPr="003D38E5">
              <w:rPr>
                <w:iCs/>
              </w:rPr>
              <w:t xml:space="preserve"> (or have in the </w:t>
            </w:r>
            <w:r w:rsidR="00F6486F">
              <w:rPr>
                <w:iCs/>
              </w:rPr>
              <w:t xml:space="preserve">past) </w:t>
            </w:r>
            <w:r w:rsidR="00B26436">
              <w:rPr>
                <w:iCs/>
              </w:rPr>
              <w:t>and/or have other identifie</w:t>
            </w:r>
            <w:r w:rsidR="00B9360D" w:rsidRPr="003D38E5">
              <w:rPr>
                <w:iCs/>
              </w:rPr>
              <w:t>d needs</w:t>
            </w:r>
            <w:r w:rsidR="00911968" w:rsidRPr="003D38E5">
              <w:rPr>
                <w:iCs/>
              </w:rPr>
              <w:t>.</w:t>
            </w:r>
            <w:r w:rsidR="00911968">
              <w:rPr>
                <w:iCs/>
              </w:rPr>
              <w:t xml:space="preserve"> </w:t>
            </w:r>
          </w:p>
        </w:tc>
      </w:tr>
      <w:tr w:rsidR="00DD1AE7" w14:paraId="54459899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A81AF" w14:textId="58B994BB" w:rsidR="00DD1AE7" w:rsidRDefault="00115A6B" w:rsidP="002B2451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E09AA" w14:textId="13C79399" w:rsidR="00DD1AE7" w:rsidRPr="00E27862" w:rsidRDefault="00DD1AE7" w:rsidP="00893BAD">
            <w:pPr>
              <w:suppressAutoHyphens w:val="0"/>
              <w:autoSpaceDN/>
              <w:spacing w:before="60" w:line="240" w:lineRule="auto"/>
              <w:ind w:left="57" w:right="57"/>
              <w:rPr>
                <w:rFonts w:cs="Arial"/>
                <w:iCs/>
                <w:color w:val="auto"/>
                <w:lang w:val="en-US"/>
              </w:rPr>
            </w:pPr>
            <w:r>
              <w:rPr>
                <w:rFonts w:cs="Arial"/>
                <w:iCs/>
                <w:color w:val="auto"/>
                <w:lang w:val="en-US"/>
              </w:rPr>
              <w:t xml:space="preserve">Our records confirm that the attendance of </w:t>
            </w:r>
            <w:r w:rsidR="00382BFF">
              <w:rPr>
                <w:rFonts w:cs="Arial"/>
                <w:iCs/>
                <w:color w:val="auto"/>
                <w:lang w:val="en-US"/>
              </w:rPr>
              <w:t xml:space="preserve">disadvantaged children is lower than that of other pupils. </w:t>
            </w:r>
            <w:r w:rsidR="00C76C40">
              <w:rPr>
                <w:rFonts w:cs="Arial"/>
                <w:iCs/>
                <w:color w:val="auto"/>
                <w:lang w:val="en-US"/>
              </w:rPr>
              <w:t xml:space="preserve">PA for these children is also higher than that of other pupils. </w:t>
            </w:r>
          </w:p>
        </w:tc>
      </w:tr>
      <w:tr w:rsidR="007B3393" w14:paraId="55298D99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07F98" w14:textId="362A17E0" w:rsidR="007B3393" w:rsidRDefault="007B3393" w:rsidP="002B2451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BAC9B" w14:textId="7271C60C" w:rsidR="007B3393" w:rsidRDefault="00003E55" w:rsidP="00893BAD">
            <w:pPr>
              <w:suppressAutoHyphens w:val="0"/>
              <w:autoSpaceDN/>
              <w:spacing w:before="60" w:line="240" w:lineRule="auto"/>
              <w:ind w:left="57" w:right="57"/>
              <w:rPr>
                <w:rFonts w:cs="Arial"/>
                <w:iCs/>
                <w:color w:val="auto"/>
                <w:lang w:val="en-US"/>
              </w:rPr>
            </w:pPr>
            <w:r w:rsidRPr="00565280">
              <w:rPr>
                <w:rFonts w:cs="Arial"/>
                <w:iCs/>
                <w:color w:val="auto"/>
              </w:rPr>
              <w:t>Lack of opportunity for disadvantaged students to extend</w:t>
            </w:r>
            <w:r>
              <w:rPr>
                <w:rFonts w:cs="Arial"/>
                <w:iCs/>
                <w:color w:val="auto"/>
              </w:rPr>
              <w:t xml:space="preserve"> and engage in</w:t>
            </w:r>
            <w:r w:rsidRPr="00565280">
              <w:rPr>
                <w:rFonts w:cs="Arial"/>
                <w:iCs/>
                <w:color w:val="auto"/>
              </w:rPr>
              <w:t xml:space="preserve"> learning at home.</w:t>
            </w:r>
            <w:r>
              <w:rPr>
                <w:rFonts w:cs="Arial"/>
                <w:iCs/>
                <w:color w:val="auto"/>
              </w:rPr>
              <w:t xml:space="preserve"> Pupils who are disadvantaged are more often in need of IT support.</w:t>
            </w:r>
          </w:p>
        </w:tc>
      </w:tr>
    </w:tbl>
    <w:p w14:paraId="2A7D54FF" w14:textId="77777777" w:rsidR="00E66558" w:rsidRDefault="009D71E8">
      <w:pPr>
        <w:pStyle w:val="Heading2"/>
        <w:spacing w:before="600"/>
      </w:pPr>
      <w:bookmarkStart w:id="16" w:name="_Toc443397160"/>
      <w:r>
        <w:t xml:space="preserve">Intended outcomes </w:t>
      </w:r>
    </w:p>
    <w:p w14:paraId="2A7D5500" w14:textId="77777777" w:rsidR="00E66558" w:rsidRDefault="009D71E8">
      <w:r>
        <w:rPr>
          <w:color w:val="auto"/>
        </w:rPr>
        <w:t xml:space="preserve">This explains the outcomes we are aiming for </w:t>
      </w:r>
      <w:r>
        <w:rPr>
          <w:b/>
          <w:bCs/>
          <w:color w:val="auto"/>
        </w:rPr>
        <w:t>by the end of our current strategy plan</w:t>
      </w:r>
      <w:r>
        <w:rPr>
          <w:color w:val="auto"/>
        </w:rPr>
        <w:t>, and how we will measure whether they have been achieved.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3"/>
        <w:gridCol w:w="4743"/>
      </w:tblGrid>
      <w:tr w:rsidR="00E66558" w14:paraId="2A7D5503" w14:textId="77777777" w:rsidTr="1EB4D28B"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1" w14:textId="77777777" w:rsidR="00E66558" w:rsidRDefault="009D71E8">
            <w:pPr>
              <w:pStyle w:val="TableHeader"/>
              <w:jc w:val="left"/>
            </w:pPr>
            <w:r>
              <w:t>Intended outcome</w:t>
            </w:r>
          </w:p>
        </w:tc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2" w14:textId="77777777" w:rsidR="00E66558" w:rsidRDefault="009D71E8">
            <w:pPr>
              <w:pStyle w:val="TableHeader"/>
              <w:jc w:val="left"/>
            </w:pPr>
            <w:r>
              <w:t>Success criteria</w:t>
            </w:r>
          </w:p>
        </w:tc>
      </w:tr>
      <w:tr w:rsidR="00E66558" w14:paraId="2A7D5506" w14:textId="77777777" w:rsidTr="1EB4D28B"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4" w14:textId="2A1FE3F3" w:rsidR="00E66558" w:rsidRDefault="00626EE3">
            <w:pPr>
              <w:pStyle w:val="TableRow"/>
            </w:pPr>
            <w:r w:rsidRPr="00E27862">
              <w:rPr>
                <w:rFonts w:cs="Arial"/>
                <w:color w:val="auto"/>
              </w:rPr>
              <w:t>Improved oral language skills and vocabulary among disadvantaged pupils</w:t>
            </w:r>
          </w:p>
        </w:tc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5" w14:textId="6B630B4A" w:rsidR="00E66558" w:rsidRDefault="005E222A">
            <w:pPr>
              <w:pStyle w:val="TableRowCentered"/>
              <w:jc w:val="left"/>
              <w:rPr>
                <w:sz w:val="22"/>
                <w:szCs w:val="22"/>
              </w:rPr>
            </w:pPr>
            <w:r w:rsidRPr="00E27862">
              <w:rPr>
                <w:rFonts w:cs="Arial"/>
                <w:color w:val="auto"/>
              </w:rPr>
              <w:t>Assessments</w:t>
            </w:r>
            <w:r w:rsidR="005C09F6">
              <w:rPr>
                <w:rFonts w:cs="Arial"/>
                <w:color w:val="auto"/>
              </w:rPr>
              <w:t xml:space="preserve"> (inc. NELI)</w:t>
            </w:r>
            <w:r w:rsidRPr="00E27862">
              <w:rPr>
                <w:rFonts w:cs="Arial"/>
                <w:color w:val="auto"/>
              </w:rPr>
              <w:t xml:space="preserve"> and observations indicate significantly </w:t>
            </w:r>
            <w:r w:rsidRPr="00E27862">
              <w:rPr>
                <w:rFonts w:cs="Arial"/>
                <w:color w:val="auto"/>
              </w:rPr>
              <w:lastRenderedPageBreak/>
              <w:t xml:space="preserve">improved oral language among disadvantaged pupils. </w:t>
            </w:r>
            <w:r w:rsidR="004628E1">
              <w:rPr>
                <w:color w:val="auto"/>
              </w:rPr>
              <w:t xml:space="preserve">This will have a direct impact on reading and writing and be evidenced by KS2 outcomes that are at least in line with NA for all other children. </w:t>
            </w:r>
          </w:p>
        </w:tc>
      </w:tr>
      <w:tr w:rsidR="00C04813" w14:paraId="2A7D5509" w14:textId="77777777" w:rsidTr="1EB4D28B"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7" w14:textId="75696EE2" w:rsidR="00C04813" w:rsidRDefault="00C04813" w:rsidP="00C04813">
            <w:pPr>
              <w:pStyle w:val="TableRow"/>
              <w:rPr>
                <w:sz w:val="22"/>
                <w:szCs w:val="22"/>
              </w:rPr>
            </w:pPr>
            <w:r w:rsidRPr="00E27862">
              <w:rPr>
                <w:rFonts w:cs="Arial"/>
                <w:color w:val="auto"/>
              </w:rPr>
              <w:lastRenderedPageBreak/>
              <w:t>Improved reading attainment among disadvantaged pupils</w:t>
            </w:r>
            <w:r w:rsidR="001E6D73">
              <w:rPr>
                <w:rFonts w:cs="Arial"/>
                <w:color w:val="auto"/>
              </w:rPr>
              <w:t xml:space="preserve"> at the end of KS2</w:t>
            </w:r>
            <w:r w:rsidRPr="00E27862">
              <w:rPr>
                <w:rFonts w:cs="Arial"/>
                <w:color w:val="auto"/>
              </w:rPr>
              <w:t xml:space="preserve">. </w:t>
            </w:r>
          </w:p>
        </w:tc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8" w14:textId="4C71A127" w:rsidR="00C04813" w:rsidRDefault="00C04813" w:rsidP="00C04813">
            <w:pPr>
              <w:pStyle w:val="TableRowCentered"/>
              <w:jc w:val="left"/>
              <w:rPr>
                <w:sz w:val="22"/>
                <w:szCs w:val="22"/>
              </w:rPr>
            </w:pPr>
            <w:r w:rsidRPr="00E27862">
              <w:rPr>
                <w:rFonts w:cs="Arial"/>
                <w:color w:val="auto"/>
              </w:rPr>
              <w:t>KS2</w:t>
            </w:r>
            <w:r w:rsidRPr="00E27862">
              <w:rPr>
                <w:rFonts w:cs="Arial"/>
                <w:color w:val="auto"/>
                <w:lang w:eastAsia="en-US"/>
              </w:rPr>
              <w:t xml:space="preserve"> reading outcomes in 2024/25 show that more than </w:t>
            </w:r>
            <w:r w:rsidR="00912B11">
              <w:rPr>
                <w:rFonts w:cs="Arial"/>
                <w:color w:val="auto"/>
                <w:lang w:eastAsia="en-US"/>
              </w:rPr>
              <w:t>7</w:t>
            </w:r>
            <w:r w:rsidR="006E3E41">
              <w:rPr>
                <w:rFonts w:cs="Arial"/>
                <w:color w:val="auto"/>
                <w:lang w:eastAsia="en-US"/>
              </w:rPr>
              <w:t>8</w:t>
            </w:r>
            <w:r w:rsidRPr="00E27862">
              <w:rPr>
                <w:rFonts w:cs="Arial"/>
                <w:color w:val="auto"/>
                <w:lang w:eastAsia="en-US"/>
              </w:rPr>
              <w:t>% of disadvantaged pupils met the expected standard.</w:t>
            </w:r>
          </w:p>
        </w:tc>
      </w:tr>
      <w:tr w:rsidR="00E676CC" w14:paraId="2A7D550C" w14:textId="77777777" w:rsidTr="1EB4D28B"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A" w14:textId="55AC1858" w:rsidR="00E676CC" w:rsidRDefault="00E676CC" w:rsidP="00E676CC">
            <w:pPr>
              <w:pStyle w:val="TableRow"/>
              <w:rPr>
                <w:sz w:val="22"/>
                <w:szCs w:val="22"/>
              </w:rPr>
            </w:pPr>
            <w:r w:rsidRPr="00E27862">
              <w:rPr>
                <w:rFonts w:cs="Arial"/>
                <w:color w:val="auto"/>
              </w:rPr>
              <w:t xml:space="preserve">Improved maths attainment for disadvantaged pupils at the end of KS2. </w:t>
            </w:r>
          </w:p>
        </w:tc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B9ACC" w14:textId="1DAB87C0" w:rsidR="00E676CC" w:rsidRPr="00E27862" w:rsidRDefault="00E676CC" w:rsidP="00E676CC">
            <w:pPr>
              <w:pStyle w:val="TableRowCentered"/>
              <w:spacing w:after="120"/>
              <w:jc w:val="left"/>
              <w:rPr>
                <w:rFonts w:cs="Arial"/>
                <w:color w:val="auto"/>
                <w:szCs w:val="24"/>
                <w:lang w:eastAsia="en-US"/>
              </w:rPr>
            </w:pPr>
            <w:r w:rsidRPr="00E27862">
              <w:rPr>
                <w:rFonts w:cs="Arial"/>
                <w:color w:val="auto"/>
              </w:rPr>
              <w:t>KS2</w:t>
            </w:r>
            <w:r w:rsidRPr="00E27862">
              <w:rPr>
                <w:rFonts w:cs="Arial"/>
                <w:color w:val="auto"/>
                <w:szCs w:val="24"/>
                <w:lang w:eastAsia="en-US"/>
              </w:rPr>
              <w:t xml:space="preserve"> maths outcomes in 2024/25 show that </w:t>
            </w:r>
            <w:r w:rsidRPr="00E27862">
              <w:rPr>
                <w:rStyle w:val="CommentReference"/>
                <w:color w:val="auto"/>
              </w:rPr>
              <w:t xml:space="preserve">more than </w:t>
            </w:r>
            <w:r w:rsidR="00912B11">
              <w:rPr>
                <w:rStyle w:val="CommentReference"/>
                <w:color w:val="auto"/>
              </w:rPr>
              <w:t>78</w:t>
            </w:r>
            <w:r w:rsidRPr="00E27862">
              <w:rPr>
                <w:rStyle w:val="CommentReference"/>
                <w:color w:val="auto"/>
              </w:rPr>
              <w:t>% of disadvantaged pupils met the expected standard.</w:t>
            </w:r>
          </w:p>
          <w:p w14:paraId="2A7D550B" w14:textId="77777777" w:rsidR="00E676CC" w:rsidRDefault="00E676CC" w:rsidP="00E676CC">
            <w:pPr>
              <w:pStyle w:val="TableRowCentered"/>
              <w:jc w:val="left"/>
              <w:rPr>
                <w:sz w:val="22"/>
                <w:szCs w:val="22"/>
              </w:rPr>
            </w:pPr>
          </w:p>
        </w:tc>
      </w:tr>
      <w:tr w:rsidR="002479E1" w14:paraId="2B094889" w14:textId="77777777" w:rsidTr="1EB4D28B"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EDFA5" w14:textId="35C351A0" w:rsidR="002479E1" w:rsidRPr="00E27862" w:rsidRDefault="002479E1" w:rsidP="00E676CC">
            <w:pPr>
              <w:pStyle w:val="TableRow"/>
              <w:rPr>
                <w:rFonts w:cs="Arial"/>
                <w:color w:val="auto"/>
              </w:rPr>
            </w:pPr>
            <w:r w:rsidRPr="00E27862">
              <w:rPr>
                <w:rFonts w:cs="Arial"/>
                <w:color w:val="auto"/>
              </w:rPr>
              <w:t xml:space="preserve">Improved </w:t>
            </w:r>
            <w:r>
              <w:rPr>
                <w:rFonts w:cs="Arial"/>
                <w:color w:val="auto"/>
              </w:rPr>
              <w:t>writing</w:t>
            </w:r>
            <w:r w:rsidRPr="00E27862">
              <w:rPr>
                <w:rFonts w:cs="Arial"/>
                <w:color w:val="auto"/>
              </w:rPr>
              <w:t xml:space="preserve"> attainment among disadvantaged pupils</w:t>
            </w:r>
            <w:r w:rsidR="001E6D73">
              <w:rPr>
                <w:rFonts w:cs="Arial"/>
                <w:color w:val="auto"/>
              </w:rPr>
              <w:t xml:space="preserve"> at the end of KS2</w:t>
            </w:r>
          </w:p>
        </w:tc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99207" w14:textId="5BB7A576" w:rsidR="002479E1" w:rsidRPr="00E27862" w:rsidRDefault="002479E1" w:rsidP="002479E1">
            <w:pPr>
              <w:pStyle w:val="TableRowCentered"/>
              <w:spacing w:after="120"/>
              <w:jc w:val="left"/>
              <w:rPr>
                <w:rFonts w:cs="Arial"/>
                <w:color w:val="auto"/>
                <w:szCs w:val="24"/>
                <w:lang w:eastAsia="en-US"/>
              </w:rPr>
            </w:pPr>
            <w:r w:rsidRPr="00E27862">
              <w:rPr>
                <w:rFonts w:cs="Arial"/>
                <w:color w:val="auto"/>
              </w:rPr>
              <w:t>KS2</w:t>
            </w:r>
            <w:r w:rsidRPr="00E27862">
              <w:rPr>
                <w:rFonts w:cs="Arial"/>
                <w:color w:val="auto"/>
                <w:szCs w:val="24"/>
                <w:lang w:eastAsia="en-US"/>
              </w:rPr>
              <w:t xml:space="preserve"> </w:t>
            </w:r>
            <w:r>
              <w:rPr>
                <w:rFonts w:cs="Arial"/>
                <w:color w:val="auto"/>
                <w:szCs w:val="24"/>
                <w:lang w:eastAsia="en-US"/>
              </w:rPr>
              <w:t>writing</w:t>
            </w:r>
            <w:r w:rsidRPr="00E27862">
              <w:rPr>
                <w:rFonts w:cs="Arial"/>
                <w:color w:val="auto"/>
                <w:szCs w:val="24"/>
                <w:lang w:eastAsia="en-US"/>
              </w:rPr>
              <w:t xml:space="preserve"> outcomes in 2024/25 show that </w:t>
            </w:r>
            <w:r w:rsidRPr="00E27862">
              <w:rPr>
                <w:rStyle w:val="CommentReference"/>
                <w:color w:val="auto"/>
              </w:rPr>
              <w:t xml:space="preserve">more than </w:t>
            </w:r>
            <w:r>
              <w:rPr>
                <w:rStyle w:val="CommentReference"/>
                <w:color w:val="auto"/>
              </w:rPr>
              <w:t>78</w:t>
            </w:r>
            <w:r w:rsidRPr="00E27862">
              <w:rPr>
                <w:rStyle w:val="CommentReference"/>
                <w:color w:val="auto"/>
              </w:rPr>
              <w:t>% of disadvantaged pupils met the expected standard.</w:t>
            </w:r>
          </w:p>
          <w:p w14:paraId="6B36A949" w14:textId="77777777" w:rsidR="002479E1" w:rsidRPr="00E27862" w:rsidRDefault="002479E1" w:rsidP="00E676CC">
            <w:pPr>
              <w:pStyle w:val="TableRowCentered"/>
              <w:spacing w:after="120"/>
              <w:jc w:val="left"/>
              <w:rPr>
                <w:rFonts w:cs="Arial"/>
                <w:color w:val="auto"/>
              </w:rPr>
            </w:pPr>
          </w:p>
        </w:tc>
      </w:tr>
      <w:tr w:rsidR="002479E1" w14:paraId="1D7C6F28" w14:textId="77777777" w:rsidTr="1EB4D28B"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44AE6" w14:textId="7EA47621" w:rsidR="002479E1" w:rsidRPr="00E27862" w:rsidRDefault="002479E1" w:rsidP="00E676CC">
            <w:pPr>
              <w:pStyle w:val="TableRow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Combined attainment at KS2 is in line with NA for all pupils</w:t>
            </w:r>
            <w:r w:rsidR="00076278">
              <w:rPr>
                <w:rFonts w:cs="Arial"/>
                <w:color w:val="auto"/>
              </w:rPr>
              <w:t xml:space="preserve">, particularly disadvantaged children. </w:t>
            </w:r>
          </w:p>
        </w:tc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A4D18" w14:textId="0871A8A1" w:rsidR="002479E1" w:rsidRPr="00E27862" w:rsidRDefault="00076278" w:rsidP="002479E1">
            <w:pPr>
              <w:pStyle w:val="TableRowCentered"/>
              <w:spacing w:after="12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 xml:space="preserve">Combined attainment in RWM is at least in line with NA for all groups. </w:t>
            </w:r>
          </w:p>
        </w:tc>
      </w:tr>
      <w:tr w:rsidR="007B6814" w14:paraId="2401945F" w14:textId="77777777" w:rsidTr="1EB4D28B"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9848E" w14:textId="6C2DA316" w:rsidR="007B6814" w:rsidRDefault="007B6814" w:rsidP="007B6814">
            <w:pPr>
              <w:pStyle w:val="TableRow"/>
              <w:rPr>
                <w:rFonts w:cs="Arial"/>
                <w:color w:val="auto"/>
              </w:rPr>
            </w:pPr>
            <w:r w:rsidRPr="0014209A">
              <w:rPr>
                <w:color w:val="auto"/>
              </w:rPr>
              <w:t xml:space="preserve">Improved attainment among </w:t>
            </w:r>
            <w:r>
              <w:rPr>
                <w:color w:val="auto"/>
              </w:rPr>
              <w:t xml:space="preserve">secondary </w:t>
            </w:r>
            <w:r w:rsidRPr="0014209A">
              <w:rPr>
                <w:color w:val="auto"/>
              </w:rPr>
              <w:t xml:space="preserve">disadvantaged </w:t>
            </w:r>
            <w:r>
              <w:rPr>
                <w:color w:val="auto"/>
              </w:rPr>
              <w:t>students</w:t>
            </w:r>
            <w:r w:rsidRPr="0014209A">
              <w:rPr>
                <w:color w:val="auto"/>
              </w:rPr>
              <w:t xml:space="preserve"> through targeted subject intervention and prevention  </w:t>
            </w:r>
          </w:p>
        </w:tc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9230F" w14:textId="04100668" w:rsidR="007B6814" w:rsidRDefault="34E9E22D" w:rsidP="007B6814">
            <w:pPr>
              <w:pStyle w:val="ListParagraph"/>
              <w:numPr>
                <w:ilvl w:val="0"/>
                <w:numId w:val="17"/>
              </w:numPr>
              <w:suppressAutoHyphens w:val="0"/>
              <w:autoSpaceDN/>
              <w:spacing w:before="60" w:after="120" w:line="240" w:lineRule="auto"/>
              <w:ind w:left="457" w:right="57" w:hanging="426"/>
              <w:rPr>
                <w:rFonts w:cs="Arial"/>
                <w:color w:val="auto"/>
              </w:rPr>
            </w:pPr>
            <w:r w:rsidRPr="353EB0FF">
              <w:rPr>
                <w:rFonts w:cs="Arial"/>
                <w:color w:val="auto"/>
              </w:rPr>
              <w:t xml:space="preserve">Cycle 3 outcomes show that disadvantaged students have a percentile rank greater than 31%  </w:t>
            </w:r>
          </w:p>
          <w:p w14:paraId="2832DF93" w14:textId="77777777" w:rsidR="007B6814" w:rsidRDefault="007B6814" w:rsidP="007B6814">
            <w:pPr>
              <w:pStyle w:val="ListParagraph"/>
              <w:numPr>
                <w:ilvl w:val="0"/>
                <w:numId w:val="17"/>
              </w:numPr>
              <w:suppressAutoHyphens w:val="0"/>
              <w:autoSpaceDN/>
              <w:spacing w:before="60" w:after="120" w:line="240" w:lineRule="auto"/>
              <w:ind w:left="457" w:right="57" w:hanging="426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Y11 disadvantaged pupil outcomes will move closer to the overall progress figure</w:t>
            </w:r>
          </w:p>
          <w:p w14:paraId="42B7DE2C" w14:textId="77777777" w:rsidR="007B6814" w:rsidRDefault="007B6814" w:rsidP="007B6814">
            <w:pPr>
              <w:pStyle w:val="ListParagraph"/>
              <w:numPr>
                <w:ilvl w:val="0"/>
                <w:numId w:val="17"/>
              </w:numPr>
              <w:suppressAutoHyphens w:val="0"/>
              <w:autoSpaceDN/>
              <w:spacing w:before="60" w:after="120" w:line="240" w:lineRule="auto"/>
              <w:ind w:left="457" w:right="57" w:hanging="426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Academy data shows that more than 70% of disadvantaged pupils met the expected homework standard</w:t>
            </w:r>
          </w:p>
          <w:p w14:paraId="10AEFBE1" w14:textId="22D31AAC" w:rsidR="007B6814" w:rsidRDefault="007B6814" w:rsidP="007B6814">
            <w:pPr>
              <w:pStyle w:val="TableRowCentered"/>
              <w:spacing w:after="12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Significant reduction in any sanctions which reduce contact in learning time</w:t>
            </w:r>
          </w:p>
        </w:tc>
      </w:tr>
      <w:tr w:rsidR="0040033A" w14:paraId="2A7D550F" w14:textId="77777777" w:rsidTr="1EB4D28B"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D" w14:textId="1DC73547" w:rsidR="0040033A" w:rsidRDefault="0040033A" w:rsidP="0040033A">
            <w:pPr>
              <w:pStyle w:val="TableRow"/>
              <w:rPr>
                <w:sz w:val="22"/>
                <w:szCs w:val="22"/>
              </w:rPr>
            </w:pPr>
            <w:r w:rsidRPr="00E27862">
              <w:rPr>
                <w:rFonts w:cs="Arial"/>
                <w:color w:val="auto"/>
              </w:rPr>
              <w:t>To achieve and sustain improved wellbeing for all pupils in our school, particularly our disadvantaged pupils.</w:t>
            </w:r>
          </w:p>
        </w:tc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3962B" w14:textId="77777777" w:rsidR="0040033A" w:rsidRPr="00E27862" w:rsidRDefault="0040033A" w:rsidP="0040033A">
            <w:pPr>
              <w:suppressAutoHyphens w:val="0"/>
              <w:autoSpaceDN/>
              <w:spacing w:before="60" w:after="60" w:line="240" w:lineRule="auto"/>
              <w:ind w:left="34" w:right="57"/>
              <w:rPr>
                <w:rFonts w:cs="Arial"/>
                <w:color w:val="auto"/>
              </w:rPr>
            </w:pPr>
            <w:r w:rsidRPr="00E27862">
              <w:rPr>
                <w:rFonts w:cs="Arial"/>
                <w:color w:val="auto"/>
              </w:rPr>
              <w:t>Sustained high levels of wellbeing from 2024/25 demonstrated by:</w:t>
            </w:r>
          </w:p>
          <w:p w14:paraId="67B4E45B" w14:textId="5777E173" w:rsidR="0040033A" w:rsidRDefault="0040033A" w:rsidP="00736895">
            <w:pPr>
              <w:pStyle w:val="ListParagraph"/>
              <w:numPr>
                <w:ilvl w:val="0"/>
                <w:numId w:val="15"/>
              </w:numPr>
              <w:suppressAutoHyphens w:val="0"/>
              <w:autoSpaceDN/>
              <w:spacing w:before="60" w:after="120" w:line="240" w:lineRule="auto"/>
              <w:ind w:right="57"/>
              <w:contextualSpacing w:val="0"/>
              <w:rPr>
                <w:rFonts w:cs="Arial"/>
                <w:color w:val="auto"/>
              </w:rPr>
            </w:pPr>
            <w:r w:rsidRPr="00E27862">
              <w:rPr>
                <w:rFonts w:cs="Arial"/>
                <w:color w:val="auto"/>
              </w:rPr>
              <w:t xml:space="preserve">qualitative data from </w:t>
            </w:r>
            <w:r w:rsidR="0065709F">
              <w:rPr>
                <w:rFonts w:cs="Arial"/>
                <w:color w:val="auto"/>
              </w:rPr>
              <w:t xml:space="preserve">pupil and parent feedback, staff </w:t>
            </w:r>
            <w:r w:rsidR="005F22AF">
              <w:rPr>
                <w:rFonts w:cs="Arial"/>
                <w:color w:val="auto"/>
              </w:rPr>
              <w:t>ob</w:t>
            </w:r>
            <w:r w:rsidR="005948D8">
              <w:rPr>
                <w:rFonts w:cs="Arial"/>
                <w:color w:val="auto"/>
              </w:rPr>
              <w:t>servations</w:t>
            </w:r>
            <w:r w:rsidR="00076278">
              <w:rPr>
                <w:rFonts w:cs="Arial"/>
                <w:color w:val="auto"/>
              </w:rPr>
              <w:t xml:space="preserve">, </w:t>
            </w:r>
          </w:p>
          <w:p w14:paraId="583835EF" w14:textId="3521339D" w:rsidR="00CE4B87" w:rsidRPr="00E27862" w:rsidRDefault="67EBD845" w:rsidP="1EB4D28B">
            <w:pPr>
              <w:pStyle w:val="ListParagraph"/>
              <w:numPr>
                <w:ilvl w:val="0"/>
                <w:numId w:val="15"/>
              </w:numPr>
              <w:suppressAutoHyphens w:val="0"/>
              <w:autoSpaceDN/>
              <w:spacing w:before="60" w:after="120" w:line="240" w:lineRule="auto"/>
              <w:ind w:right="57"/>
              <w:rPr>
                <w:rFonts w:cs="Arial"/>
                <w:color w:val="auto"/>
              </w:rPr>
            </w:pPr>
            <w:r w:rsidRPr="1EB4D28B">
              <w:rPr>
                <w:rFonts w:cs="Arial"/>
                <w:color w:val="auto"/>
              </w:rPr>
              <w:t>number of</w:t>
            </w:r>
            <w:r w:rsidR="00CE4B87" w:rsidRPr="1EB4D28B">
              <w:rPr>
                <w:rFonts w:cs="Arial"/>
                <w:color w:val="auto"/>
              </w:rPr>
              <w:t xml:space="preserve"> incidents</w:t>
            </w:r>
            <w:r w:rsidR="7524CF86" w:rsidRPr="1EB4D28B">
              <w:rPr>
                <w:rFonts w:cs="Arial"/>
                <w:color w:val="auto"/>
              </w:rPr>
              <w:t xml:space="preserve"> recorded</w:t>
            </w:r>
            <w:r w:rsidR="00CE4B87" w:rsidRPr="1EB4D28B">
              <w:rPr>
                <w:rFonts w:cs="Arial"/>
                <w:color w:val="auto"/>
              </w:rPr>
              <w:t xml:space="preserve"> on CPOMs</w:t>
            </w:r>
            <w:r w:rsidR="4AFDE403" w:rsidRPr="1EB4D28B">
              <w:rPr>
                <w:rFonts w:cs="Arial"/>
                <w:color w:val="auto"/>
              </w:rPr>
              <w:t xml:space="preserve"> reflects the proportion of need for disadvantaged pupils</w:t>
            </w:r>
          </w:p>
          <w:p w14:paraId="631F090A" w14:textId="77777777" w:rsidR="0040033A" w:rsidRPr="00736895" w:rsidRDefault="0040033A" w:rsidP="00736895">
            <w:pPr>
              <w:pStyle w:val="TableRowCentered"/>
              <w:numPr>
                <w:ilvl w:val="0"/>
                <w:numId w:val="15"/>
              </w:numPr>
              <w:jc w:val="left"/>
              <w:rPr>
                <w:sz w:val="22"/>
                <w:szCs w:val="22"/>
              </w:rPr>
            </w:pPr>
            <w:r w:rsidRPr="00E27862">
              <w:rPr>
                <w:rFonts w:cs="Arial"/>
                <w:color w:val="auto"/>
              </w:rPr>
              <w:t xml:space="preserve">a significant increase in participation in enrichment activities, particularly among disadvantaged pupils    </w:t>
            </w:r>
          </w:p>
          <w:p w14:paraId="38AAA212" w14:textId="77777777" w:rsidR="00736895" w:rsidRDefault="00736895" w:rsidP="00736895">
            <w:pPr>
              <w:pStyle w:val="ListParagraph"/>
              <w:numPr>
                <w:ilvl w:val="0"/>
                <w:numId w:val="15"/>
              </w:numPr>
              <w:suppressAutoHyphens w:val="0"/>
              <w:autoSpaceDN/>
              <w:spacing w:before="60" w:after="120" w:line="240" w:lineRule="auto"/>
              <w:ind w:right="57"/>
              <w:rPr>
                <w:rFonts w:cs="Arial"/>
                <w:color w:val="auto"/>
              </w:rPr>
            </w:pPr>
            <w:r w:rsidRPr="009A66DF">
              <w:rPr>
                <w:rFonts w:cs="Arial"/>
                <w:color w:val="auto"/>
              </w:rPr>
              <w:t xml:space="preserve">An increase in referrals to external specialist services to support students well being </w:t>
            </w:r>
          </w:p>
          <w:p w14:paraId="0518536D" w14:textId="7B2F3F47" w:rsidR="00736895" w:rsidRPr="009A66DF" w:rsidRDefault="00736895" w:rsidP="00736895">
            <w:pPr>
              <w:pStyle w:val="ListParagraph"/>
              <w:numPr>
                <w:ilvl w:val="0"/>
                <w:numId w:val="15"/>
              </w:numPr>
              <w:suppressAutoHyphens w:val="0"/>
              <w:autoSpaceDN/>
              <w:spacing w:before="60" w:after="120" w:line="240" w:lineRule="auto"/>
              <w:ind w:right="57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 xml:space="preserve">An increase of referrals from staff for disadvantaged </w:t>
            </w:r>
            <w:r w:rsidR="001E7213">
              <w:rPr>
                <w:rFonts w:cs="Arial"/>
                <w:color w:val="auto"/>
              </w:rPr>
              <w:t>pupils</w:t>
            </w:r>
          </w:p>
          <w:p w14:paraId="2A7D550E" w14:textId="7D21524C" w:rsidR="00736895" w:rsidRPr="00736895" w:rsidRDefault="00736895" w:rsidP="00736895">
            <w:pPr>
              <w:pStyle w:val="ListParagraph"/>
              <w:numPr>
                <w:ilvl w:val="0"/>
                <w:numId w:val="15"/>
              </w:numPr>
              <w:suppressAutoHyphens w:val="0"/>
              <w:autoSpaceDN/>
              <w:spacing w:before="60" w:after="120" w:line="240" w:lineRule="auto"/>
              <w:ind w:right="57"/>
              <w:rPr>
                <w:rFonts w:cs="Arial"/>
                <w:color w:val="auto"/>
              </w:rPr>
            </w:pPr>
            <w:r w:rsidRPr="009A66DF">
              <w:rPr>
                <w:rFonts w:cs="Arial"/>
                <w:color w:val="auto"/>
              </w:rPr>
              <w:lastRenderedPageBreak/>
              <w:t>An increase in Early Help support through the Local Authority service</w:t>
            </w:r>
          </w:p>
        </w:tc>
      </w:tr>
      <w:tr w:rsidR="00DA5A7E" w14:paraId="0E156BFC" w14:textId="77777777" w:rsidTr="1EB4D28B"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4C4E8" w14:textId="40089519" w:rsidR="00DA5A7E" w:rsidRPr="00E27862" w:rsidRDefault="00DA5A7E" w:rsidP="00DA5A7E">
            <w:pPr>
              <w:pStyle w:val="TableRow"/>
              <w:rPr>
                <w:rFonts w:cs="Arial"/>
                <w:color w:val="auto"/>
              </w:rPr>
            </w:pPr>
            <w:r w:rsidRPr="00E27862">
              <w:rPr>
                <w:rFonts w:cs="Arial"/>
                <w:color w:val="auto"/>
              </w:rPr>
              <w:lastRenderedPageBreak/>
              <w:t>To achieve and sustain improved attendance for all pupils, particularly our disadvantaged pupils.</w:t>
            </w:r>
          </w:p>
        </w:tc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CAA57" w14:textId="77777777" w:rsidR="00DA5A7E" w:rsidRPr="00E27862" w:rsidRDefault="00DA5A7E" w:rsidP="00DA5A7E">
            <w:pPr>
              <w:suppressAutoHyphens w:val="0"/>
              <w:autoSpaceDN/>
              <w:spacing w:before="60" w:after="60" w:line="240" w:lineRule="auto"/>
              <w:ind w:left="57" w:right="57"/>
              <w:rPr>
                <w:rFonts w:cs="Arial"/>
                <w:color w:val="auto"/>
              </w:rPr>
            </w:pPr>
            <w:r w:rsidRPr="00E27862">
              <w:rPr>
                <w:rFonts w:cs="Arial"/>
                <w:color w:val="auto"/>
              </w:rPr>
              <w:t>Sustained high attendance from 2024/25 demonstrated by:</w:t>
            </w:r>
          </w:p>
          <w:p w14:paraId="2C2F7F4F" w14:textId="4F551963" w:rsidR="00DA5A7E" w:rsidRPr="00E27862" w:rsidRDefault="00DA5A7E" w:rsidP="00DA5A7E">
            <w:pPr>
              <w:pStyle w:val="ListParagraph"/>
              <w:numPr>
                <w:ilvl w:val="0"/>
                <w:numId w:val="16"/>
              </w:numPr>
              <w:suppressAutoHyphens w:val="0"/>
              <w:autoSpaceDN/>
              <w:spacing w:before="60" w:after="60" w:line="240" w:lineRule="auto"/>
              <w:ind w:right="57"/>
              <w:rPr>
                <w:rFonts w:cs="Arial"/>
                <w:color w:val="auto"/>
              </w:rPr>
            </w:pPr>
            <w:r w:rsidRPr="00E27862">
              <w:rPr>
                <w:rFonts w:cs="Arial"/>
                <w:color w:val="auto"/>
              </w:rPr>
              <w:t xml:space="preserve">the overall absence rate for all pupils being no more than </w:t>
            </w:r>
            <w:r w:rsidR="00EF4312">
              <w:rPr>
                <w:rFonts w:cs="Arial"/>
                <w:color w:val="auto"/>
              </w:rPr>
              <w:t>5</w:t>
            </w:r>
            <w:r w:rsidRPr="00E27862">
              <w:rPr>
                <w:rFonts w:cs="Arial"/>
                <w:color w:val="auto"/>
              </w:rPr>
              <w:t>%</w:t>
            </w:r>
            <w:r w:rsidR="00736895">
              <w:rPr>
                <w:rFonts w:cs="Arial"/>
                <w:color w:val="auto"/>
              </w:rPr>
              <w:t xml:space="preserve"> Primary</w:t>
            </w:r>
            <w:r w:rsidRPr="00E27862">
              <w:rPr>
                <w:rFonts w:cs="Arial"/>
                <w:color w:val="auto"/>
              </w:rPr>
              <w:t>,</w:t>
            </w:r>
            <w:r w:rsidR="00EF4312">
              <w:rPr>
                <w:rFonts w:cs="Arial"/>
                <w:color w:val="auto"/>
              </w:rPr>
              <w:t xml:space="preserve"> 10% Secondary</w:t>
            </w:r>
            <w:r w:rsidRPr="00E27862">
              <w:rPr>
                <w:rFonts w:cs="Arial"/>
                <w:color w:val="auto"/>
              </w:rPr>
              <w:t xml:space="preserve"> and the attendance gap between disadvantaged pupils and their non-disadvantaged peers being reduced </w:t>
            </w:r>
            <w:r w:rsidR="00EF4312">
              <w:rPr>
                <w:rFonts w:cs="Arial"/>
                <w:color w:val="auto"/>
              </w:rPr>
              <w:t>until it is negligible</w:t>
            </w:r>
            <w:r w:rsidRPr="00E27862">
              <w:rPr>
                <w:rFonts w:cs="Arial"/>
                <w:color w:val="auto"/>
              </w:rPr>
              <w:t>.</w:t>
            </w:r>
          </w:p>
          <w:p w14:paraId="4902DE42" w14:textId="3801B6AA" w:rsidR="00DA5A7E" w:rsidRPr="0006764A" w:rsidRDefault="00DA5A7E" w:rsidP="0006764A">
            <w:pPr>
              <w:pStyle w:val="ListParagraph"/>
              <w:numPr>
                <w:ilvl w:val="0"/>
                <w:numId w:val="16"/>
              </w:numPr>
              <w:suppressAutoHyphens w:val="0"/>
              <w:autoSpaceDN/>
              <w:spacing w:before="60" w:after="60" w:line="240" w:lineRule="auto"/>
              <w:ind w:right="57"/>
              <w:rPr>
                <w:rFonts w:cs="Arial"/>
                <w:color w:val="auto"/>
              </w:rPr>
            </w:pPr>
            <w:r w:rsidRPr="0006764A">
              <w:rPr>
                <w:rFonts w:cs="Arial"/>
                <w:color w:val="auto"/>
              </w:rPr>
              <w:t xml:space="preserve">the percentage of all pupils who are persistently absent being below </w:t>
            </w:r>
            <w:r w:rsidR="00EF4312">
              <w:rPr>
                <w:rFonts w:cs="Arial"/>
                <w:color w:val="auto"/>
              </w:rPr>
              <w:t>10</w:t>
            </w:r>
            <w:r w:rsidRPr="0006764A">
              <w:rPr>
                <w:rFonts w:cs="Arial"/>
                <w:color w:val="auto"/>
              </w:rPr>
              <w:t>% and the figure among disadvantaged pupils being no lower than their peers.</w:t>
            </w:r>
          </w:p>
        </w:tc>
      </w:tr>
    </w:tbl>
    <w:p w14:paraId="60BAD9F6" w14:textId="77777777" w:rsidR="00120AB1" w:rsidRDefault="00120AB1">
      <w:pPr>
        <w:pStyle w:val="Heading2"/>
      </w:pPr>
    </w:p>
    <w:p w14:paraId="2A06959E" w14:textId="77777777" w:rsidR="00120AB1" w:rsidRDefault="00120AB1">
      <w:pPr>
        <w:suppressAutoHyphens w:val="0"/>
        <w:spacing w:after="0" w:line="240" w:lineRule="auto"/>
        <w:rPr>
          <w:b/>
          <w:color w:val="104F75"/>
          <w:sz w:val="32"/>
          <w:szCs w:val="32"/>
        </w:rPr>
      </w:pPr>
      <w:r>
        <w:br w:type="page"/>
      </w:r>
    </w:p>
    <w:p w14:paraId="2A7D5512" w14:textId="7B489199" w:rsidR="00E66558" w:rsidRDefault="009D71E8">
      <w:pPr>
        <w:pStyle w:val="Heading2"/>
      </w:pPr>
      <w:r>
        <w:lastRenderedPageBreak/>
        <w:t>Activity in this academic year</w:t>
      </w:r>
    </w:p>
    <w:p w14:paraId="2A7D5513" w14:textId="77777777" w:rsidR="00E66558" w:rsidRDefault="009D71E8">
      <w:pPr>
        <w:spacing w:after="480"/>
      </w:pPr>
      <w:r>
        <w:t xml:space="preserve">This details how we intend to spend our pupil premium (and recovery premium funding) </w:t>
      </w:r>
      <w:r>
        <w:rPr>
          <w:b/>
          <w:bCs/>
        </w:rPr>
        <w:t>this academic year</w:t>
      </w:r>
      <w:r>
        <w:t xml:space="preserve"> to address the challenges listed above.</w:t>
      </w:r>
    </w:p>
    <w:p w14:paraId="2A7D5514" w14:textId="77777777" w:rsidR="00E66558" w:rsidRDefault="009D71E8">
      <w:pPr>
        <w:pStyle w:val="Heading3"/>
      </w:pPr>
      <w:r>
        <w:t>Teaching (for example, CPD, recruitment and retention)</w:t>
      </w:r>
    </w:p>
    <w:p w14:paraId="2A7D5515" w14:textId="1D9C5B2D" w:rsidR="00E66558" w:rsidRDefault="009D71E8">
      <w:r>
        <w:t xml:space="preserve">Budgeted cost: £ </w:t>
      </w:r>
      <w:r w:rsidR="00A84D03">
        <w:t>2</w:t>
      </w:r>
      <w:r w:rsidR="003560FF">
        <w:t>5</w:t>
      </w:r>
      <w:r w:rsidR="00A84D03">
        <w:t>0,000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4254"/>
        <w:gridCol w:w="2544"/>
      </w:tblGrid>
      <w:tr w:rsidR="00E66558" w14:paraId="2A7D5519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6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7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8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F33FC3" w14:paraId="2A7D551D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C40A9" w14:textId="7AF0A714" w:rsidR="00F33FC3" w:rsidRPr="00E27862" w:rsidRDefault="00F33FC3" w:rsidP="00F33FC3">
            <w:pPr>
              <w:pStyle w:val="TableRow"/>
              <w:spacing w:after="240"/>
              <w:ind w:left="29"/>
              <w:rPr>
                <w:rFonts w:cs="Arial"/>
                <w:color w:val="auto"/>
                <w:shd w:val="clear" w:color="auto" w:fill="FFFFFF"/>
              </w:rPr>
            </w:pPr>
            <w:r w:rsidRPr="00E27862">
              <w:rPr>
                <w:iCs/>
                <w:color w:val="auto"/>
                <w:lang w:val="en-US"/>
              </w:rPr>
              <w:t xml:space="preserve">Purchase of standardised diagnostic assessments. </w:t>
            </w:r>
            <w:r w:rsidR="00180CF2">
              <w:rPr>
                <w:iCs/>
                <w:color w:val="auto"/>
                <w:lang w:val="en-US"/>
              </w:rPr>
              <w:t>(</w:t>
            </w:r>
            <w:r w:rsidR="00AA2BA3">
              <w:rPr>
                <w:iCs/>
                <w:color w:val="auto"/>
                <w:lang w:val="en-US"/>
              </w:rPr>
              <w:t>NTS Assessments</w:t>
            </w:r>
            <w:r w:rsidR="00180CF2">
              <w:rPr>
                <w:iCs/>
                <w:color w:val="auto"/>
                <w:lang w:val="en-US"/>
              </w:rPr>
              <w:t>)</w:t>
            </w:r>
          </w:p>
          <w:p w14:paraId="2A7D551A" w14:textId="161993AD" w:rsidR="00F33FC3" w:rsidRDefault="00F33FC3" w:rsidP="00F33FC3">
            <w:pPr>
              <w:pStyle w:val="TableRow"/>
            </w:pPr>
            <w:r w:rsidRPr="00E27862">
              <w:rPr>
                <w:rFonts w:cs="Arial"/>
                <w:color w:val="auto"/>
                <w:shd w:val="clear" w:color="auto" w:fill="FFFFFF"/>
              </w:rPr>
              <w:t>Training for staff to ensure assessments are interpreted and administered correctly.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3061F" w14:textId="75D8977A" w:rsidR="00F33FC3" w:rsidRPr="00E27862" w:rsidRDefault="00F33FC3" w:rsidP="00F33FC3">
            <w:pPr>
              <w:pStyle w:val="TableRowCentered"/>
              <w:jc w:val="left"/>
              <w:rPr>
                <w:color w:val="auto"/>
                <w:szCs w:val="24"/>
              </w:rPr>
            </w:pPr>
            <w:r w:rsidRPr="00E27862">
              <w:rPr>
                <w:color w:val="auto"/>
                <w:szCs w:val="24"/>
              </w:rPr>
              <w:t xml:space="preserve">Standardised tests can provide reliable insights into the specific strengths and weaknesses of each pupil to help ensure they receive the correct additional support through interventions </w:t>
            </w:r>
            <w:r w:rsidR="00BE7D63">
              <w:rPr>
                <w:color w:val="auto"/>
                <w:szCs w:val="24"/>
              </w:rPr>
              <w:t xml:space="preserve">and </w:t>
            </w:r>
            <w:r w:rsidR="00C260A5">
              <w:rPr>
                <w:color w:val="auto"/>
                <w:szCs w:val="24"/>
              </w:rPr>
              <w:t>high-quality</w:t>
            </w:r>
            <w:r w:rsidR="00A47425">
              <w:rPr>
                <w:color w:val="auto"/>
                <w:szCs w:val="24"/>
              </w:rPr>
              <w:t xml:space="preserve"> feedback and instruction</w:t>
            </w:r>
            <w:r w:rsidRPr="00E27862">
              <w:rPr>
                <w:color w:val="auto"/>
                <w:szCs w:val="24"/>
              </w:rPr>
              <w:t>:</w:t>
            </w:r>
          </w:p>
          <w:p w14:paraId="1AE9663A" w14:textId="77777777" w:rsidR="00F33FC3" w:rsidRDefault="002A0DBC" w:rsidP="00F33FC3">
            <w:pPr>
              <w:pStyle w:val="TableRowCentered"/>
              <w:jc w:val="left"/>
              <w:rPr>
                <w:sz w:val="22"/>
              </w:rPr>
            </w:pPr>
            <w:hyperlink r:id="rId10" w:history="1">
              <w:r w:rsidR="00D9477C" w:rsidRPr="00D9477C">
                <w:rPr>
                  <w:rStyle w:val="Hyperlink"/>
                  <w:sz w:val="22"/>
                </w:rPr>
                <w:t>EEF Feedback</w:t>
              </w:r>
            </w:hyperlink>
          </w:p>
          <w:p w14:paraId="2B5C6A60" w14:textId="77777777" w:rsidR="00567907" w:rsidRDefault="00567907" w:rsidP="00F33FC3">
            <w:pPr>
              <w:pStyle w:val="TableRowCentered"/>
              <w:jc w:val="left"/>
              <w:rPr>
                <w:sz w:val="22"/>
              </w:rPr>
            </w:pPr>
          </w:p>
          <w:p w14:paraId="2A7D551B" w14:textId="12628FBD" w:rsidR="00567907" w:rsidRDefault="00567907" w:rsidP="00F33FC3">
            <w:pPr>
              <w:pStyle w:val="TableRowCentered"/>
              <w:jc w:val="left"/>
              <w:rPr>
                <w:sz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C" w14:textId="66350172" w:rsidR="00F33FC3" w:rsidRDefault="00180CF2" w:rsidP="00F33FC3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1,2,3,4</w:t>
            </w:r>
          </w:p>
        </w:tc>
      </w:tr>
      <w:tr w:rsidR="008F71A1" w14:paraId="2A7D5521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EA46E" w14:textId="6EE4A08E" w:rsidR="008F71A1" w:rsidRPr="00E27862" w:rsidRDefault="008F71A1" w:rsidP="008F71A1">
            <w:pPr>
              <w:suppressAutoHyphens w:val="0"/>
              <w:autoSpaceDN/>
              <w:spacing w:before="60" w:line="240" w:lineRule="auto"/>
              <w:ind w:left="29" w:right="57"/>
              <w:rPr>
                <w:iCs/>
                <w:color w:val="auto"/>
                <w:lang w:val="en-US"/>
              </w:rPr>
            </w:pPr>
            <w:r w:rsidRPr="00E27862">
              <w:rPr>
                <w:iCs/>
                <w:color w:val="auto"/>
                <w:lang w:val="en-US"/>
              </w:rPr>
              <w:t>Embedding dialogic activities across the school curriculum. Th</w:t>
            </w:r>
            <w:r w:rsidR="000E02FF">
              <w:rPr>
                <w:iCs/>
                <w:color w:val="auto"/>
                <w:lang w:val="en-US"/>
              </w:rPr>
              <w:t>is will support children</w:t>
            </w:r>
            <w:r w:rsidRPr="00E27862">
              <w:rPr>
                <w:iCs/>
                <w:color w:val="auto"/>
                <w:lang w:val="en-US"/>
              </w:rPr>
              <w:t xml:space="preserve"> to articulate key ideas, consolidate understanding and extend vocabulary. </w:t>
            </w:r>
          </w:p>
          <w:p w14:paraId="2A7D551E" w14:textId="239EE031" w:rsidR="008F71A1" w:rsidRDefault="00BD2A06" w:rsidP="008F71A1">
            <w:pPr>
              <w:pStyle w:val="TableRow"/>
              <w:rPr>
                <w:i/>
                <w:sz w:val="22"/>
              </w:rPr>
            </w:pPr>
            <w:r>
              <w:rPr>
                <w:color w:val="auto"/>
              </w:rPr>
              <w:t xml:space="preserve">Primary </w:t>
            </w:r>
            <w:r w:rsidR="00EF002A">
              <w:rPr>
                <w:color w:val="auto"/>
              </w:rPr>
              <w:t>English Lead to plan and implement</w:t>
            </w:r>
            <w:r w:rsidR="003A323E">
              <w:rPr>
                <w:color w:val="auto"/>
              </w:rPr>
              <w:t xml:space="preserve"> according to action plan.</w:t>
            </w:r>
            <w:r w:rsidR="008F71A1" w:rsidRPr="00E27862">
              <w:rPr>
                <w:color w:val="auto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F535A" w14:textId="77E508BA" w:rsidR="008F71A1" w:rsidRPr="00E27862" w:rsidRDefault="008F71A1" w:rsidP="008F71A1">
            <w:pPr>
              <w:suppressAutoHyphens w:val="0"/>
              <w:autoSpaceDN/>
              <w:spacing w:before="60" w:after="60" w:line="240" w:lineRule="auto"/>
              <w:ind w:left="57" w:right="57"/>
              <w:rPr>
                <w:rFonts w:cs="Arial"/>
                <w:color w:val="auto"/>
              </w:rPr>
            </w:pPr>
            <w:r w:rsidRPr="00E27862">
              <w:rPr>
                <w:rFonts w:cs="Arial"/>
                <w:color w:val="auto"/>
              </w:rPr>
              <w:t>There is a strong evidence base that suggests oral language interventions, including dialogic activities such as high-quality classroom discussion, are inexpensive to implement with high impacts on reading</w:t>
            </w:r>
            <w:r w:rsidR="00797379">
              <w:rPr>
                <w:rFonts w:cs="Arial"/>
                <w:color w:val="auto"/>
              </w:rPr>
              <w:t xml:space="preserve"> and writing</w:t>
            </w:r>
            <w:r w:rsidRPr="00E27862">
              <w:rPr>
                <w:rFonts w:cs="Arial"/>
                <w:color w:val="auto"/>
              </w:rPr>
              <w:t>:</w:t>
            </w:r>
          </w:p>
          <w:p w14:paraId="0C319DC8" w14:textId="77777777" w:rsidR="008F71A1" w:rsidRDefault="002A0DBC" w:rsidP="008F71A1">
            <w:pPr>
              <w:pStyle w:val="TableRowCentered"/>
              <w:jc w:val="left"/>
              <w:rPr>
                <w:rFonts w:cs="Arial"/>
                <w:color w:val="0070C0"/>
                <w:u w:val="single"/>
              </w:rPr>
            </w:pPr>
            <w:hyperlink r:id="rId11" w:history="1">
              <w:r w:rsidR="008F71A1" w:rsidRPr="00391C6D">
                <w:rPr>
                  <w:rFonts w:cs="Arial"/>
                  <w:color w:val="0070C0"/>
                  <w:u w:val="single"/>
                </w:rPr>
                <w:t>Oral language interventions | Toolkit Strand | Education Endowment Foundation | EEF</w:t>
              </w:r>
            </w:hyperlink>
          </w:p>
          <w:p w14:paraId="28FA085E" w14:textId="77777777" w:rsidR="00EA635D" w:rsidRDefault="00EA635D" w:rsidP="008F71A1">
            <w:pPr>
              <w:pStyle w:val="TableRowCentered"/>
              <w:jc w:val="left"/>
              <w:rPr>
                <w:rFonts w:cs="Arial"/>
                <w:color w:val="0070C0"/>
                <w:u w:val="single"/>
              </w:rPr>
            </w:pPr>
          </w:p>
          <w:p w14:paraId="2B134B9B" w14:textId="77777777" w:rsidR="00EA635D" w:rsidRDefault="00EA635D" w:rsidP="008F71A1">
            <w:pPr>
              <w:pStyle w:val="TableRowCentered"/>
              <w:jc w:val="left"/>
              <w:rPr>
                <w:rFonts w:cs="Arial"/>
                <w:color w:val="0070C0"/>
                <w:u w:val="single"/>
              </w:rPr>
            </w:pPr>
          </w:p>
          <w:p w14:paraId="2A7D551F" w14:textId="6A30F696" w:rsidR="00EA635D" w:rsidRDefault="00EA635D" w:rsidP="008F71A1">
            <w:pPr>
              <w:pStyle w:val="TableRowCentered"/>
              <w:jc w:val="left"/>
              <w:rPr>
                <w:sz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0" w14:textId="41782590" w:rsidR="008F71A1" w:rsidRDefault="008E0360" w:rsidP="008F71A1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1,2</w:t>
            </w:r>
          </w:p>
        </w:tc>
      </w:tr>
      <w:tr w:rsidR="001B3401" w14:paraId="14F7B1F6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7D5EC" w14:textId="0201F6CB" w:rsidR="001B3401" w:rsidRPr="00E27862" w:rsidRDefault="001B3401" w:rsidP="001B3401">
            <w:pPr>
              <w:suppressAutoHyphens w:val="0"/>
              <w:autoSpaceDN/>
              <w:spacing w:before="60" w:line="240" w:lineRule="auto"/>
              <w:ind w:left="29" w:right="57"/>
              <w:rPr>
                <w:iCs/>
                <w:color w:val="auto"/>
                <w:lang w:val="en-US"/>
              </w:rPr>
            </w:pPr>
            <w:r w:rsidRPr="00E27862">
              <w:rPr>
                <w:rFonts w:cs="Arial"/>
                <w:iCs/>
                <w:color w:val="auto"/>
              </w:rPr>
              <w:t xml:space="preserve">Purchase </w:t>
            </w:r>
            <w:r w:rsidR="00E861CC">
              <w:rPr>
                <w:rFonts w:cs="Arial"/>
                <w:iCs/>
                <w:color w:val="auto"/>
              </w:rPr>
              <w:t xml:space="preserve">Read Write Inc </w:t>
            </w:r>
            <w:r w:rsidR="00D82D2F">
              <w:rPr>
                <w:rFonts w:cs="Arial"/>
                <w:iCs/>
                <w:color w:val="auto"/>
              </w:rPr>
              <w:t>resources</w:t>
            </w:r>
            <w:r w:rsidR="001802C3">
              <w:rPr>
                <w:rFonts w:cs="Arial"/>
                <w:iCs/>
                <w:color w:val="auto"/>
              </w:rPr>
              <w:t xml:space="preserve"> (inc learning platform)</w:t>
            </w:r>
            <w:r w:rsidR="00D82D2F">
              <w:rPr>
                <w:rFonts w:cs="Arial"/>
                <w:iCs/>
                <w:color w:val="auto"/>
              </w:rPr>
              <w:t xml:space="preserve"> and facilitate necessary training</w:t>
            </w:r>
            <w:r w:rsidRPr="00E27862">
              <w:rPr>
                <w:rFonts w:cs="Arial"/>
                <w:iCs/>
                <w:color w:val="auto"/>
              </w:rPr>
              <w:t xml:space="preserve"> to secure stronger phonics teaching for all pupils.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1D5C1" w14:textId="77777777" w:rsidR="001B3401" w:rsidRPr="00E27862" w:rsidRDefault="001B3401" w:rsidP="001B3401">
            <w:pPr>
              <w:pStyle w:val="TableRowCentered"/>
              <w:jc w:val="left"/>
              <w:rPr>
                <w:rFonts w:cs="Arial"/>
                <w:color w:val="auto"/>
                <w:szCs w:val="24"/>
              </w:rPr>
            </w:pPr>
            <w:r w:rsidRPr="00E27862">
              <w:rPr>
                <w:rFonts w:cs="Arial"/>
                <w:color w:val="auto"/>
                <w:szCs w:val="24"/>
              </w:rPr>
              <w:t xml:space="preserve">Phonics approaches have a strong evidence base that indicates a positive impact on the accuracy of word reading (though not necessarily comprehension), particularly for disadvantaged pupils: </w:t>
            </w:r>
          </w:p>
          <w:p w14:paraId="2027EAAB" w14:textId="77777777" w:rsidR="001B3401" w:rsidRDefault="002A0DBC" w:rsidP="001B3401">
            <w:pPr>
              <w:suppressAutoHyphens w:val="0"/>
              <w:autoSpaceDN/>
              <w:spacing w:before="60" w:after="60" w:line="240" w:lineRule="auto"/>
              <w:ind w:left="57" w:right="57"/>
              <w:rPr>
                <w:color w:val="0070C0"/>
                <w:u w:val="single"/>
              </w:rPr>
            </w:pPr>
            <w:hyperlink r:id="rId12" w:history="1">
              <w:r w:rsidR="001B3401" w:rsidRPr="00D01A6D">
                <w:rPr>
                  <w:color w:val="0070C0"/>
                  <w:u w:val="single"/>
                </w:rPr>
                <w:t>Phonics | Toolkit Strand | Education Endowment Foundation | EEF</w:t>
              </w:r>
            </w:hyperlink>
          </w:p>
          <w:p w14:paraId="75987F64" w14:textId="77777777" w:rsidR="00333AA7" w:rsidRDefault="00333AA7" w:rsidP="001B3401">
            <w:pPr>
              <w:suppressAutoHyphens w:val="0"/>
              <w:autoSpaceDN/>
              <w:spacing w:before="60" w:after="60" w:line="240" w:lineRule="auto"/>
              <w:ind w:left="57" w:right="57"/>
              <w:rPr>
                <w:rFonts w:cs="Arial"/>
                <w:color w:val="auto"/>
              </w:rPr>
            </w:pPr>
          </w:p>
          <w:p w14:paraId="5BA68A69" w14:textId="7370C9C8" w:rsidR="00333AA7" w:rsidRPr="00E27862" w:rsidRDefault="00333AA7" w:rsidP="001B3401">
            <w:pPr>
              <w:suppressAutoHyphens w:val="0"/>
              <w:autoSpaceDN/>
              <w:spacing w:before="60" w:after="60" w:line="240" w:lineRule="auto"/>
              <w:ind w:left="57" w:right="57"/>
              <w:rPr>
                <w:rFonts w:cs="Arial"/>
                <w:color w:val="auto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8C985" w14:textId="4CEF01B0" w:rsidR="001B3401" w:rsidRDefault="00C55DE6" w:rsidP="001B3401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</w:tr>
      <w:tr w:rsidR="00ED071F" w14:paraId="70CC1C97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20F5E" w14:textId="77777777" w:rsidR="00ED071F" w:rsidRPr="00E27862" w:rsidRDefault="00ED071F" w:rsidP="00ED071F">
            <w:pPr>
              <w:spacing w:before="60" w:after="120" w:line="240" w:lineRule="auto"/>
              <w:ind w:left="28" w:right="57"/>
              <w:rPr>
                <w:rFonts w:cs="Arial"/>
                <w:color w:val="auto"/>
              </w:rPr>
            </w:pPr>
            <w:r w:rsidRPr="00E27862">
              <w:rPr>
                <w:color w:val="auto"/>
              </w:rPr>
              <w:lastRenderedPageBreak/>
              <w:t>Enhancement of our maths teaching and curriculum planning in line with DfE and EEF guidance.</w:t>
            </w:r>
          </w:p>
          <w:p w14:paraId="15DD2B86" w14:textId="39376EB9" w:rsidR="00ED071F" w:rsidRPr="00E27862" w:rsidRDefault="00ED071F" w:rsidP="00ED071F">
            <w:pPr>
              <w:suppressAutoHyphens w:val="0"/>
              <w:autoSpaceDN/>
              <w:spacing w:before="60" w:line="240" w:lineRule="auto"/>
              <w:ind w:left="29" w:right="57"/>
              <w:rPr>
                <w:rFonts w:cs="Arial"/>
                <w:iCs/>
                <w:color w:val="auto"/>
              </w:rPr>
            </w:pPr>
            <w:r w:rsidRPr="00E27862">
              <w:rPr>
                <w:color w:val="auto"/>
              </w:rPr>
              <w:t>We will fund teacher release time to embed key elements of guidance in school</w:t>
            </w:r>
            <w:r w:rsidR="00EF6115">
              <w:rPr>
                <w:color w:val="auto"/>
              </w:rPr>
              <w:t xml:space="preserve"> </w:t>
            </w:r>
            <w:proofErr w:type="gramStart"/>
            <w:r w:rsidR="00EF6115">
              <w:rPr>
                <w:color w:val="auto"/>
              </w:rPr>
              <w:t xml:space="preserve">and </w:t>
            </w:r>
            <w:r w:rsidRPr="00E27862">
              <w:rPr>
                <w:color w:val="auto"/>
              </w:rPr>
              <w:t xml:space="preserve"> </w:t>
            </w:r>
            <w:r w:rsidR="0085114D">
              <w:rPr>
                <w:color w:val="auto"/>
              </w:rPr>
              <w:t>work</w:t>
            </w:r>
            <w:proofErr w:type="gramEnd"/>
            <w:r w:rsidR="0085114D">
              <w:rPr>
                <w:color w:val="auto"/>
              </w:rPr>
              <w:t xml:space="preserve"> with other leaders within the Trust to develop </w:t>
            </w:r>
            <w:r w:rsidR="00D26288">
              <w:rPr>
                <w:color w:val="auto"/>
              </w:rPr>
              <w:t xml:space="preserve">expertise at all levels.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EDE7D" w14:textId="77777777" w:rsidR="00ED071F" w:rsidRPr="00E27862" w:rsidRDefault="00ED071F" w:rsidP="00ED071F">
            <w:pPr>
              <w:suppressAutoHyphens w:val="0"/>
              <w:autoSpaceDN/>
              <w:spacing w:before="60" w:after="60" w:line="240" w:lineRule="auto"/>
              <w:ind w:left="57" w:right="57"/>
              <w:rPr>
                <w:rFonts w:cs="Arial"/>
                <w:iCs/>
                <w:color w:val="auto"/>
              </w:rPr>
            </w:pPr>
            <w:r w:rsidRPr="00E27862">
              <w:rPr>
                <w:rFonts w:cs="Arial"/>
                <w:iCs/>
                <w:color w:val="auto"/>
              </w:rPr>
              <w:t xml:space="preserve">The DfE non-statutory guidance has been produced in conjunction with the National Centre for Excellence in the Teaching of Mathematics, drawing on evidence-based approaches: </w:t>
            </w:r>
          </w:p>
          <w:p w14:paraId="56BA43F1" w14:textId="77777777" w:rsidR="00ED071F" w:rsidRPr="00D01A6D" w:rsidRDefault="002A0DBC" w:rsidP="00ED071F">
            <w:pPr>
              <w:suppressAutoHyphens w:val="0"/>
              <w:autoSpaceDN/>
              <w:spacing w:before="60" w:after="120" w:line="240" w:lineRule="auto"/>
              <w:ind w:left="57" w:right="57"/>
              <w:rPr>
                <w:rFonts w:cs="Arial"/>
                <w:iCs/>
                <w:color w:val="0070C0"/>
              </w:rPr>
            </w:pPr>
            <w:hyperlink r:id="rId13" w:history="1">
              <w:r w:rsidR="00ED071F" w:rsidRPr="00D01A6D">
                <w:rPr>
                  <w:color w:val="0070C0"/>
                  <w:u w:val="single"/>
                </w:rPr>
                <w:t>Maths_guidance_KS_1_and_2.pdf (publishing.service.gov.uk)</w:t>
              </w:r>
            </w:hyperlink>
          </w:p>
          <w:p w14:paraId="42CD48FF" w14:textId="77777777" w:rsidR="00ED071F" w:rsidRPr="00E27862" w:rsidRDefault="00ED071F" w:rsidP="00ED071F">
            <w:pPr>
              <w:suppressAutoHyphens w:val="0"/>
              <w:autoSpaceDN/>
              <w:spacing w:before="120" w:after="60" w:line="240" w:lineRule="auto"/>
              <w:ind w:left="57" w:right="57"/>
              <w:rPr>
                <w:rFonts w:cs="Arial"/>
                <w:color w:val="auto"/>
              </w:rPr>
            </w:pPr>
            <w:r w:rsidRPr="00E27862">
              <w:rPr>
                <w:rFonts w:cs="Arial"/>
                <w:color w:val="auto"/>
              </w:rPr>
              <w:t xml:space="preserve">The EEF guidance is based on a range of the best available evidence: </w:t>
            </w:r>
          </w:p>
          <w:p w14:paraId="0FF6AF99" w14:textId="77777777" w:rsidR="00ED071F" w:rsidRDefault="002A0DBC" w:rsidP="00ED071F">
            <w:pPr>
              <w:pStyle w:val="TableRowCentered"/>
              <w:jc w:val="left"/>
              <w:rPr>
                <w:rStyle w:val="Hyperlink"/>
                <w:rFonts w:cs="Arial"/>
                <w:color w:val="0070C0"/>
              </w:rPr>
            </w:pPr>
            <w:hyperlink r:id="rId14" w:history="1">
              <w:r w:rsidR="00ED071F" w:rsidRPr="000106A2">
                <w:rPr>
                  <w:rStyle w:val="Hyperlink"/>
                  <w:rFonts w:cs="Arial"/>
                  <w:color w:val="0070C0"/>
                </w:rPr>
                <w:t>Improving Mathematics in Key Stages 2 and 3</w:t>
              </w:r>
            </w:hyperlink>
          </w:p>
          <w:p w14:paraId="789842D4" w14:textId="77777777" w:rsidR="00982BE1" w:rsidRDefault="00982BE1" w:rsidP="00ED071F">
            <w:pPr>
              <w:pStyle w:val="TableRowCentered"/>
              <w:jc w:val="left"/>
              <w:rPr>
                <w:rStyle w:val="Hyperlink"/>
                <w:rFonts w:cs="Arial"/>
                <w:color w:val="0070C0"/>
              </w:rPr>
            </w:pPr>
          </w:p>
          <w:p w14:paraId="729CEC2D" w14:textId="77777777" w:rsidR="00982BE1" w:rsidRDefault="002A0DBC" w:rsidP="00ED071F">
            <w:pPr>
              <w:pStyle w:val="TableRowCentered"/>
              <w:jc w:val="left"/>
              <w:rPr>
                <w:rFonts w:cs="Arial"/>
                <w:color w:val="auto"/>
                <w:szCs w:val="24"/>
              </w:rPr>
            </w:pPr>
            <w:hyperlink r:id="rId15" w:history="1">
              <w:r w:rsidR="005F0EF0" w:rsidRPr="005F0EF0">
                <w:rPr>
                  <w:rStyle w:val="Hyperlink"/>
                  <w:rFonts w:cs="Arial"/>
                  <w:szCs w:val="24"/>
                </w:rPr>
                <w:t>Early Years and KS1 Maths Teaching</w:t>
              </w:r>
            </w:hyperlink>
          </w:p>
          <w:p w14:paraId="4B40E18D" w14:textId="77777777" w:rsidR="00C52AC0" w:rsidRDefault="00C52AC0" w:rsidP="00ED071F">
            <w:pPr>
              <w:pStyle w:val="TableRowCentered"/>
              <w:jc w:val="left"/>
              <w:rPr>
                <w:rFonts w:cs="Arial"/>
                <w:color w:val="auto"/>
                <w:szCs w:val="24"/>
              </w:rPr>
            </w:pPr>
          </w:p>
          <w:p w14:paraId="60DB6641" w14:textId="2D1B7D94" w:rsidR="00C52AC0" w:rsidRPr="00E27862" w:rsidRDefault="00C52AC0" w:rsidP="00ED071F">
            <w:pPr>
              <w:pStyle w:val="TableRowCentered"/>
              <w:jc w:val="left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EBCC1" w14:textId="5917882F" w:rsidR="00ED071F" w:rsidRDefault="009445BB" w:rsidP="00ED071F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1,3,4</w:t>
            </w:r>
          </w:p>
        </w:tc>
      </w:tr>
      <w:tr w:rsidR="002D27C9" w14:paraId="6A2FDB12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AA55B" w14:textId="367FB3DB" w:rsidR="002D27C9" w:rsidRPr="00E27862" w:rsidRDefault="002D27C9" w:rsidP="00ED071F">
            <w:pPr>
              <w:spacing w:before="60" w:after="120" w:line="240" w:lineRule="auto"/>
              <w:ind w:left="28" w:right="57"/>
              <w:rPr>
                <w:color w:val="auto"/>
              </w:rPr>
            </w:pPr>
            <w:r>
              <w:rPr>
                <w:color w:val="auto"/>
              </w:rPr>
              <w:t>Smaller group teaching in KS2 so that</w:t>
            </w:r>
            <w:r w:rsidR="00835CF8">
              <w:rPr>
                <w:color w:val="auto"/>
              </w:rPr>
              <w:t xml:space="preserve"> children receive regular and precise feedback </w:t>
            </w:r>
            <w:proofErr w:type="gramStart"/>
            <w:r w:rsidR="00835CF8">
              <w:rPr>
                <w:color w:val="auto"/>
              </w:rPr>
              <w:t>in order to</w:t>
            </w:r>
            <w:proofErr w:type="gramEnd"/>
            <w:r w:rsidR="00835CF8">
              <w:rPr>
                <w:color w:val="auto"/>
              </w:rPr>
              <w:t xml:space="preserve"> make rapid progress.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7DAFC" w14:textId="77777777" w:rsidR="002D27C9" w:rsidRDefault="007E1D80" w:rsidP="00ED071F">
            <w:pPr>
              <w:suppressAutoHyphens w:val="0"/>
              <w:autoSpaceDN/>
              <w:spacing w:before="60" w:after="60" w:line="240" w:lineRule="auto"/>
              <w:ind w:left="57" w:right="57"/>
              <w:rPr>
                <w:rFonts w:cs="Arial"/>
                <w:color w:val="auto"/>
                <w:shd w:val="clear" w:color="auto" w:fill="FAFAFA"/>
              </w:rPr>
            </w:pPr>
            <w:r w:rsidRPr="003B6570">
              <w:rPr>
                <w:rFonts w:cs="Arial"/>
                <w:color w:val="auto"/>
                <w:shd w:val="clear" w:color="auto" w:fill="FAFAFA"/>
              </w:rPr>
              <w:t>Feedback suppor</w:t>
            </w:r>
            <w:r w:rsidR="003B6570" w:rsidRPr="003B6570">
              <w:rPr>
                <w:rFonts w:cs="Arial"/>
                <w:color w:val="auto"/>
                <w:shd w:val="clear" w:color="auto" w:fill="FAFAFA"/>
              </w:rPr>
              <w:t xml:space="preserve">ts children </w:t>
            </w:r>
            <w:r w:rsidRPr="003B6570">
              <w:rPr>
                <w:rFonts w:cs="Arial"/>
                <w:color w:val="auto"/>
                <w:shd w:val="clear" w:color="auto" w:fill="FAFAFA"/>
              </w:rPr>
              <w:t xml:space="preserve">in taking greater responsibility for their own improvement or through increasing </w:t>
            </w:r>
            <w:r w:rsidR="003B6570" w:rsidRPr="003B6570">
              <w:rPr>
                <w:rFonts w:cs="Arial"/>
                <w:color w:val="auto"/>
                <w:shd w:val="clear" w:color="auto" w:fill="FAFAFA"/>
              </w:rPr>
              <w:t>their</w:t>
            </w:r>
            <w:r w:rsidRPr="003B6570">
              <w:rPr>
                <w:rFonts w:cs="Arial"/>
                <w:color w:val="auto"/>
                <w:shd w:val="clear" w:color="auto" w:fill="FAFAFA"/>
              </w:rPr>
              <w:t xml:space="preserve"> motivation to improve.</w:t>
            </w:r>
          </w:p>
          <w:p w14:paraId="5DA34390" w14:textId="77777777" w:rsidR="00A5334D" w:rsidRDefault="002A0DBC" w:rsidP="00A5334D">
            <w:pPr>
              <w:pStyle w:val="TableRowCentered"/>
              <w:jc w:val="left"/>
              <w:rPr>
                <w:sz w:val="22"/>
              </w:rPr>
            </w:pPr>
            <w:hyperlink r:id="rId16" w:history="1">
              <w:r w:rsidR="00A5334D" w:rsidRPr="00D9477C">
                <w:rPr>
                  <w:rStyle w:val="Hyperlink"/>
                  <w:sz w:val="22"/>
                </w:rPr>
                <w:t>EEF Feedback</w:t>
              </w:r>
            </w:hyperlink>
          </w:p>
          <w:p w14:paraId="1E782232" w14:textId="77777777" w:rsidR="003B6570" w:rsidRDefault="003B6570" w:rsidP="00ED071F">
            <w:pPr>
              <w:suppressAutoHyphens w:val="0"/>
              <w:autoSpaceDN/>
              <w:spacing w:before="60" w:after="60" w:line="240" w:lineRule="auto"/>
              <w:ind w:left="57" w:right="57"/>
              <w:rPr>
                <w:rFonts w:cs="Arial"/>
                <w:iCs/>
                <w:color w:val="auto"/>
              </w:rPr>
            </w:pPr>
          </w:p>
          <w:p w14:paraId="6D76333A" w14:textId="12AD515D" w:rsidR="003B6570" w:rsidRPr="007E1D80" w:rsidRDefault="003B6570" w:rsidP="00ED071F">
            <w:pPr>
              <w:suppressAutoHyphens w:val="0"/>
              <w:autoSpaceDN/>
              <w:spacing w:before="60" w:after="60" w:line="240" w:lineRule="auto"/>
              <w:ind w:left="57" w:right="57"/>
              <w:rPr>
                <w:rFonts w:cs="Arial"/>
                <w:iCs/>
                <w:color w:val="auto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8277D" w14:textId="5F989F9E" w:rsidR="002D27C9" w:rsidRDefault="004973A7" w:rsidP="00ED071F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1,2,3,4,5,6</w:t>
            </w:r>
          </w:p>
        </w:tc>
      </w:tr>
      <w:tr w:rsidR="007D1A45" w14:paraId="357A5348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E0380" w14:textId="19F50C96" w:rsidR="007D1A45" w:rsidRDefault="007D1A45" w:rsidP="007D1A45">
            <w:pPr>
              <w:spacing w:before="60" w:after="120" w:line="240" w:lineRule="auto"/>
              <w:ind w:left="28" w:right="57"/>
              <w:rPr>
                <w:color w:val="auto"/>
              </w:rPr>
            </w:pPr>
            <w:r>
              <w:rPr>
                <w:color w:val="000000"/>
              </w:rPr>
              <w:t xml:space="preserve">Deliver a PSHCE </w:t>
            </w:r>
            <w:r w:rsidRPr="00C5464B">
              <w:rPr>
                <w:color w:val="000000"/>
              </w:rPr>
              <w:t xml:space="preserve">curriculum </w:t>
            </w:r>
            <w:r>
              <w:rPr>
                <w:color w:val="000000"/>
              </w:rPr>
              <w:t xml:space="preserve">which </w:t>
            </w:r>
            <w:r w:rsidRPr="00C5464B">
              <w:rPr>
                <w:color w:val="000000"/>
              </w:rPr>
              <w:t>teaches students how they can keep themselves safe and manage their vulnerabilities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463AC" w14:textId="77777777" w:rsidR="007D1A45" w:rsidRDefault="007D1A45" w:rsidP="007D1A45">
            <w:pPr>
              <w:suppressAutoHyphens w:val="0"/>
              <w:autoSpaceDN/>
              <w:spacing w:before="60" w:after="60" w:line="240" w:lineRule="auto"/>
              <w:ind w:left="57" w:right="57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Recent pandemic has presented an increase in recorded DA notifications, social media conflicts between peers, low mood anxiety and self-esteem.</w:t>
            </w:r>
          </w:p>
          <w:p w14:paraId="3919325F" w14:textId="6C620A75" w:rsidR="00063E0D" w:rsidRPr="003B6570" w:rsidRDefault="00063E0D" w:rsidP="007D1A45">
            <w:pPr>
              <w:suppressAutoHyphens w:val="0"/>
              <w:autoSpaceDN/>
              <w:spacing w:before="60" w:after="60" w:line="240" w:lineRule="auto"/>
              <w:ind w:left="57" w:right="57"/>
              <w:rPr>
                <w:rFonts w:cs="Arial"/>
                <w:color w:val="auto"/>
                <w:shd w:val="clear" w:color="auto" w:fill="FAFAFA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E3D82" w14:textId="6F347D67" w:rsidR="007D1A45" w:rsidRDefault="007D1A45" w:rsidP="007D1A45">
            <w:pPr>
              <w:pStyle w:val="TableRowCentered"/>
              <w:jc w:val="left"/>
              <w:rPr>
                <w:sz w:val="22"/>
              </w:rPr>
            </w:pPr>
            <w:r>
              <w:rPr>
                <w:rFonts w:cs="Arial"/>
                <w:color w:val="auto"/>
                <w:szCs w:val="24"/>
              </w:rPr>
              <w:t>4,5</w:t>
            </w:r>
          </w:p>
        </w:tc>
      </w:tr>
      <w:tr w:rsidR="00C56D00" w14:paraId="173B329A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04539" w14:textId="01A6F2DA" w:rsidR="00C56D00" w:rsidRDefault="00C56D00" w:rsidP="00C56D00">
            <w:pPr>
              <w:spacing w:before="60" w:after="120" w:line="240" w:lineRule="auto"/>
              <w:ind w:left="28" w:right="57"/>
              <w:rPr>
                <w:color w:val="000000"/>
              </w:rPr>
            </w:pPr>
            <w:r>
              <w:rPr>
                <w:color w:val="000000"/>
              </w:rPr>
              <w:t>All through CPD Safeguarding programme that covers Keeping Children Safe in Education to increase staff knowledge and awareness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C4B82" w14:textId="7CBF4572" w:rsidR="00C56D00" w:rsidRDefault="00C56D00" w:rsidP="00C56D00">
            <w:pPr>
              <w:suppressAutoHyphens w:val="0"/>
              <w:autoSpaceDN/>
              <w:spacing w:before="60" w:after="60" w:line="240" w:lineRule="auto"/>
              <w:ind w:left="57" w:right="57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An increase in staff referrals around student wellbeing and strategies to support students.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9B615" w14:textId="50D825B8" w:rsidR="00C56D00" w:rsidRDefault="00C56D00" w:rsidP="00C56D00">
            <w:pPr>
              <w:pStyle w:val="TableRowCentered"/>
              <w:jc w:val="left"/>
              <w:rPr>
                <w:rFonts w:cs="Arial"/>
                <w:color w:val="auto"/>
                <w:szCs w:val="24"/>
              </w:rPr>
            </w:pPr>
            <w:r>
              <w:rPr>
                <w:rFonts w:cs="Arial"/>
                <w:color w:val="auto"/>
                <w:szCs w:val="24"/>
              </w:rPr>
              <w:t>4,5</w:t>
            </w:r>
          </w:p>
        </w:tc>
      </w:tr>
      <w:tr w:rsidR="006B5559" w14:paraId="4370CA99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3319D" w14:textId="07399FD7" w:rsidR="006B5559" w:rsidRDefault="006B5559" w:rsidP="006B5559">
            <w:pPr>
              <w:spacing w:before="60" w:after="120" w:line="240" w:lineRule="auto"/>
              <w:ind w:left="28" w:right="57"/>
              <w:rPr>
                <w:color w:val="000000"/>
              </w:rPr>
            </w:pPr>
            <w:r>
              <w:rPr>
                <w:rFonts w:cs="Arial"/>
                <w:iCs/>
                <w:color w:val="auto"/>
                <w:lang w:val="en-US" w:eastAsia="en-US"/>
              </w:rPr>
              <w:t xml:space="preserve">Appointment of a librarian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5B852" w14:textId="77777777" w:rsidR="006B5559" w:rsidRDefault="006B5559" w:rsidP="006B5559">
            <w:pPr>
              <w:suppressAutoHyphens w:val="0"/>
              <w:autoSpaceDN/>
              <w:spacing w:before="60" w:after="120" w:line="240" w:lineRule="auto"/>
              <w:ind w:left="57" w:right="57"/>
              <w:rPr>
                <w:color w:val="auto"/>
              </w:rPr>
            </w:pPr>
            <w:r w:rsidRPr="00326C6B">
              <w:rPr>
                <w:color w:val="auto"/>
              </w:rPr>
              <w:t>Reading for pleasure is crucial for young people’s cognitive development</w:t>
            </w:r>
            <w:r>
              <w:rPr>
                <w:color w:val="auto"/>
              </w:rPr>
              <w:t xml:space="preserve"> and is the biggest determinant for academic success.</w:t>
            </w:r>
          </w:p>
          <w:p w14:paraId="7E6D0AFC" w14:textId="01819E61" w:rsidR="006B5559" w:rsidRDefault="00F44119" w:rsidP="006B5559">
            <w:pPr>
              <w:suppressAutoHyphens w:val="0"/>
              <w:autoSpaceDN/>
              <w:spacing w:before="60" w:after="120" w:line="240" w:lineRule="auto"/>
              <w:ind w:left="57" w:right="57"/>
              <w:rPr>
                <w:color w:val="auto"/>
              </w:rPr>
            </w:pPr>
            <w:r>
              <w:rPr>
                <w:color w:val="auto"/>
              </w:rPr>
              <w:t>C</w:t>
            </w:r>
            <w:r w:rsidR="006B5559" w:rsidRPr="002F2918">
              <w:rPr>
                <w:color w:val="auto"/>
              </w:rPr>
              <w:t>hildren who enjoy reading have an average reading age of 15.3 years, while those who don’t enjoy reading have an average reading age of just 12 years, a difference of 3.3 years.</w:t>
            </w:r>
          </w:p>
          <w:p w14:paraId="68EBABA0" w14:textId="77777777" w:rsidR="006B5559" w:rsidRDefault="002A0DBC" w:rsidP="006B5559">
            <w:pPr>
              <w:suppressAutoHyphens w:val="0"/>
              <w:autoSpaceDN/>
              <w:spacing w:before="60" w:after="60" w:line="240" w:lineRule="auto"/>
              <w:ind w:left="57" w:right="57"/>
              <w:rPr>
                <w:rStyle w:val="Hyperlink"/>
              </w:rPr>
            </w:pPr>
            <w:hyperlink r:id="rId17" w:history="1">
              <w:r w:rsidR="006B5559" w:rsidRPr="004220FF">
                <w:rPr>
                  <w:rStyle w:val="Hyperlink"/>
                </w:rPr>
                <w:t>DfE Reading for pleasure 2012</w:t>
              </w:r>
            </w:hyperlink>
          </w:p>
          <w:p w14:paraId="02433AEA" w14:textId="48F9F012" w:rsidR="00064B53" w:rsidRPr="00064B53" w:rsidRDefault="00064B53" w:rsidP="006B5559">
            <w:pPr>
              <w:suppressAutoHyphens w:val="0"/>
              <w:autoSpaceDN/>
              <w:spacing w:before="60" w:after="60" w:line="240" w:lineRule="auto"/>
              <w:ind w:left="57" w:right="57"/>
              <w:rPr>
                <w:rFonts w:cs="Arial"/>
                <w:color w:val="auto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7E59E" w14:textId="3FADC6F2" w:rsidR="006B5559" w:rsidRDefault="006B5559" w:rsidP="006B5559">
            <w:pPr>
              <w:pStyle w:val="TableRowCentered"/>
              <w:jc w:val="left"/>
              <w:rPr>
                <w:rFonts w:cs="Arial"/>
                <w:color w:val="auto"/>
                <w:szCs w:val="24"/>
              </w:rPr>
            </w:pPr>
            <w:r>
              <w:rPr>
                <w:rFonts w:cs="Arial"/>
                <w:color w:val="auto"/>
                <w:szCs w:val="24"/>
              </w:rPr>
              <w:lastRenderedPageBreak/>
              <w:t>1,2,4</w:t>
            </w:r>
          </w:p>
        </w:tc>
      </w:tr>
      <w:tr w:rsidR="00BC39EA" w14:paraId="69093F07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52554" w14:textId="6DDE14FA" w:rsidR="00BC39EA" w:rsidRDefault="00BC39EA" w:rsidP="00BC39EA">
            <w:pPr>
              <w:spacing w:before="60" w:after="120" w:line="240" w:lineRule="auto"/>
              <w:ind w:left="28" w:right="57"/>
              <w:rPr>
                <w:rFonts w:cs="Arial"/>
                <w:iCs/>
                <w:color w:val="auto"/>
                <w:lang w:val="en-US" w:eastAsia="en-US"/>
              </w:rPr>
            </w:pPr>
            <w:r w:rsidRPr="005F19E4">
              <w:rPr>
                <w:rFonts w:cs="Arial"/>
                <w:iCs/>
                <w:color w:val="auto"/>
                <w:lang w:val="en-US" w:eastAsia="en-US"/>
              </w:rPr>
              <w:t>Appointment of an all through lead for Literacy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7AE0F" w14:textId="77777777" w:rsidR="00BC39EA" w:rsidRDefault="00BC39EA" w:rsidP="00BC39EA">
            <w:pPr>
              <w:suppressAutoHyphens w:val="0"/>
              <w:autoSpaceDN/>
              <w:spacing w:before="60" w:after="120" w:line="240" w:lineRule="auto"/>
              <w:ind w:left="57" w:right="57"/>
              <w:rPr>
                <w:color w:val="auto"/>
              </w:rPr>
            </w:pPr>
            <w:r>
              <w:rPr>
                <w:color w:val="auto"/>
              </w:rPr>
              <w:t xml:space="preserve">Literacy is key to learning across all subjects and a strong predictor of outcomes. There is a need to develop high quality interventions for students with the weakest levels of literacy, particularly disadvantaged students in KS3. </w:t>
            </w:r>
          </w:p>
          <w:p w14:paraId="6E001164" w14:textId="77777777" w:rsidR="00BC39EA" w:rsidRDefault="002A0DBC" w:rsidP="00BC39EA">
            <w:pPr>
              <w:suppressAutoHyphens w:val="0"/>
              <w:autoSpaceDN/>
              <w:spacing w:before="60" w:after="120" w:line="240" w:lineRule="auto"/>
              <w:ind w:left="57" w:right="57"/>
              <w:rPr>
                <w:rStyle w:val="Hyperlink"/>
              </w:rPr>
            </w:pPr>
            <w:hyperlink r:id="rId18" w:history="1">
              <w:r w:rsidR="00BC39EA" w:rsidRPr="0037436B">
                <w:rPr>
                  <w:rStyle w:val="Hyperlink"/>
                </w:rPr>
                <w:t>EEF_KS3_K</w:t>
              </w:r>
              <w:r w:rsidR="00BC39EA">
                <w:rPr>
                  <w:rStyle w:val="Hyperlink"/>
                </w:rPr>
                <w:t>S</w:t>
              </w:r>
              <w:r w:rsidR="00BC39EA" w:rsidRPr="0037436B">
                <w:rPr>
                  <w:rStyle w:val="Hyperlink"/>
                </w:rPr>
                <w:t>4 Literacy</w:t>
              </w:r>
            </w:hyperlink>
          </w:p>
          <w:p w14:paraId="0D35C6D5" w14:textId="1E1711E9" w:rsidR="00296721" w:rsidRPr="00296721" w:rsidRDefault="00296721" w:rsidP="00BC39EA">
            <w:pPr>
              <w:suppressAutoHyphens w:val="0"/>
              <w:autoSpaceDN/>
              <w:spacing w:before="60" w:after="120" w:line="240" w:lineRule="auto"/>
              <w:ind w:left="57" w:right="57"/>
              <w:rPr>
                <w:color w:val="auto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99F83" w14:textId="79340350" w:rsidR="00BC39EA" w:rsidRDefault="00BC39EA" w:rsidP="00BC39EA">
            <w:pPr>
              <w:pStyle w:val="TableRowCentered"/>
              <w:jc w:val="left"/>
              <w:rPr>
                <w:rFonts w:cs="Arial"/>
                <w:color w:val="auto"/>
                <w:szCs w:val="24"/>
              </w:rPr>
            </w:pPr>
            <w:r>
              <w:rPr>
                <w:rFonts w:cs="Arial"/>
                <w:color w:val="auto"/>
                <w:szCs w:val="24"/>
              </w:rPr>
              <w:t>1,2</w:t>
            </w:r>
          </w:p>
        </w:tc>
      </w:tr>
    </w:tbl>
    <w:p w14:paraId="2A7D5522" w14:textId="77777777" w:rsidR="00E66558" w:rsidRDefault="00E66558">
      <w:pPr>
        <w:keepNext/>
        <w:spacing w:after="60"/>
        <w:outlineLvl w:val="1"/>
      </w:pPr>
    </w:p>
    <w:p w14:paraId="2A7D5523" w14:textId="1DC08891" w:rsidR="00E66558" w:rsidRDefault="009D71E8">
      <w:pPr>
        <w:rPr>
          <w:b/>
          <w:bCs/>
          <w:color w:val="104F75"/>
          <w:sz w:val="28"/>
          <w:szCs w:val="28"/>
        </w:rPr>
      </w:pPr>
      <w:r>
        <w:rPr>
          <w:b/>
          <w:bCs/>
          <w:color w:val="104F75"/>
          <w:sz w:val="28"/>
          <w:szCs w:val="28"/>
        </w:rPr>
        <w:t xml:space="preserve">Targeted academic support (for example, </w:t>
      </w:r>
      <w:r w:rsidR="00D33FE5">
        <w:rPr>
          <w:b/>
          <w:bCs/>
          <w:color w:val="104F75"/>
          <w:sz w:val="28"/>
          <w:szCs w:val="28"/>
        </w:rPr>
        <w:t xml:space="preserve">tutoring, one-to-one support </w:t>
      </w:r>
      <w:r>
        <w:rPr>
          <w:b/>
          <w:bCs/>
          <w:color w:val="104F75"/>
          <w:sz w:val="28"/>
          <w:szCs w:val="28"/>
        </w:rPr>
        <w:t xml:space="preserve">structured interventions) </w:t>
      </w:r>
    </w:p>
    <w:p w14:paraId="2A7D5524" w14:textId="4EE107D0" w:rsidR="00E66558" w:rsidRDefault="009D71E8">
      <w:r>
        <w:t xml:space="preserve">Budgeted cost: £ </w:t>
      </w:r>
      <w:r w:rsidR="00B00541">
        <w:t>2</w:t>
      </w:r>
      <w:r w:rsidR="003C1C6E">
        <w:t>30</w:t>
      </w:r>
      <w:r w:rsidR="000279FF">
        <w:t xml:space="preserve">, </w:t>
      </w:r>
      <w:r w:rsidR="003C1C6E">
        <w:t>000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0"/>
        <w:gridCol w:w="4627"/>
        <w:gridCol w:w="2019"/>
      </w:tblGrid>
      <w:tr w:rsidR="00E66558" w14:paraId="2A7D5528" w14:textId="77777777" w:rsidTr="4D142DD8"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5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6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7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3042AD" w14:paraId="2A7D552C" w14:textId="77777777" w:rsidTr="4D142DD8"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92739" w14:textId="73673EB7" w:rsidR="003042AD" w:rsidRDefault="003042AD" w:rsidP="003042AD">
            <w:pPr>
              <w:pStyle w:val="TableRow"/>
              <w:rPr>
                <w:rFonts w:cs="Arial"/>
                <w:iCs/>
                <w:color w:val="auto"/>
                <w:lang w:val="en-US"/>
              </w:rPr>
            </w:pPr>
            <w:r w:rsidRPr="00E27862">
              <w:rPr>
                <w:rFonts w:cs="Arial"/>
                <w:iCs/>
                <w:color w:val="auto"/>
                <w:lang w:val="en-US"/>
              </w:rPr>
              <w:t xml:space="preserve">Purchase </w:t>
            </w:r>
            <w:r w:rsidR="003F35C2">
              <w:rPr>
                <w:rFonts w:cs="Arial"/>
                <w:iCs/>
                <w:color w:val="auto"/>
                <w:lang w:val="en-US"/>
              </w:rPr>
              <w:t xml:space="preserve">and delivery </w:t>
            </w:r>
            <w:r w:rsidRPr="00E27862">
              <w:rPr>
                <w:rFonts w:cs="Arial"/>
                <w:iCs/>
                <w:color w:val="auto"/>
                <w:lang w:val="en-US"/>
              </w:rPr>
              <w:t xml:space="preserve">of a </w:t>
            </w:r>
            <w:r w:rsidR="00D5444B" w:rsidRPr="00E27862">
              <w:rPr>
                <w:rFonts w:cs="Arial"/>
                <w:iCs/>
                <w:color w:val="auto"/>
                <w:lang w:val="en-US"/>
              </w:rPr>
              <w:t>program</w:t>
            </w:r>
            <w:r w:rsidRPr="00E27862">
              <w:rPr>
                <w:rFonts w:cs="Arial"/>
                <w:iCs/>
                <w:color w:val="auto"/>
                <w:lang w:val="en-US"/>
              </w:rPr>
              <w:t xml:space="preserve"> to improve listening, narrative and vocabulary skills for disadvantaged pupils who have relatively low spoken language skills.</w:t>
            </w:r>
          </w:p>
          <w:p w14:paraId="063D93EA" w14:textId="77777777" w:rsidR="00567907" w:rsidRDefault="00567907" w:rsidP="003042AD">
            <w:pPr>
              <w:pStyle w:val="TableRow"/>
              <w:rPr>
                <w:rFonts w:cs="Arial"/>
              </w:rPr>
            </w:pPr>
          </w:p>
          <w:p w14:paraId="43122A64" w14:textId="77777777" w:rsidR="00567907" w:rsidRDefault="00133986" w:rsidP="003042AD">
            <w:pPr>
              <w:pStyle w:val="TableRow"/>
            </w:pPr>
            <w:r>
              <w:t>NELI</w:t>
            </w:r>
          </w:p>
          <w:p w14:paraId="2A7D5529" w14:textId="479D79B9" w:rsidR="00133986" w:rsidRDefault="00133986" w:rsidP="003042AD">
            <w:pPr>
              <w:pStyle w:val="TableRow"/>
            </w:pPr>
            <w:r>
              <w:t>Deployment of SALT</w:t>
            </w:r>
          </w:p>
        </w:tc>
        <w:tc>
          <w:tcPr>
            <w:tcW w:w="4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EC03F" w14:textId="77777777" w:rsidR="003042AD" w:rsidRPr="00E27862" w:rsidRDefault="003042AD" w:rsidP="003042AD">
            <w:pPr>
              <w:pStyle w:val="TableRowCentered"/>
              <w:jc w:val="left"/>
              <w:rPr>
                <w:rFonts w:cs="Arial"/>
                <w:color w:val="auto"/>
                <w:szCs w:val="24"/>
              </w:rPr>
            </w:pPr>
            <w:r w:rsidRPr="00E27862">
              <w:rPr>
                <w:rFonts w:cs="Arial"/>
                <w:color w:val="auto"/>
                <w:szCs w:val="24"/>
              </w:rPr>
              <w:t>Oral language interventions can have a positive impact on pupils’ language skills. Approaches that focus on speaking, listening and a combination of the two show positive impacts on attainment:</w:t>
            </w:r>
          </w:p>
          <w:p w14:paraId="7AC1F2E5" w14:textId="77777777" w:rsidR="003042AD" w:rsidRDefault="002A0DBC" w:rsidP="003042AD">
            <w:pPr>
              <w:pStyle w:val="TableRowCentered"/>
              <w:spacing w:after="120"/>
              <w:jc w:val="left"/>
              <w:rPr>
                <w:color w:val="0070C0"/>
                <w:szCs w:val="24"/>
                <w:u w:val="single"/>
              </w:rPr>
            </w:pPr>
            <w:hyperlink r:id="rId19" w:history="1">
              <w:r w:rsidR="003042AD" w:rsidRPr="000106A2">
                <w:rPr>
                  <w:color w:val="0070C0"/>
                  <w:szCs w:val="24"/>
                  <w:u w:val="single"/>
                </w:rPr>
                <w:t>Oral language interventions | EEF (educationendowmentfoundation.org.uk)</w:t>
              </w:r>
            </w:hyperlink>
          </w:p>
          <w:p w14:paraId="3EAB3F82" w14:textId="5C37EBB4" w:rsidR="009D4A8F" w:rsidRDefault="002A0DBC" w:rsidP="003042AD">
            <w:pPr>
              <w:pStyle w:val="TableRowCentered"/>
              <w:spacing w:after="120"/>
              <w:jc w:val="left"/>
              <w:rPr>
                <w:color w:val="0070C0"/>
                <w:szCs w:val="24"/>
              </w:rPr>
            </w:pPr>
            <w:hyperlink r:id="rId20" w:history="1">
              <w:r w:rsidR="000A3CFB" w:rsidRPr="000A3CFB">
                <w:rPr>
                  <w:rStyle w:val="Hyperlink"/>
                  <w:szCs w:val="24"/>
                </w:rPr>
                <w:t>Communication and Language Approaches EEF</w:t>
              </w:r>
            </w:hyperlink>
          </w:p>
          <w:p w14:paraId="6507B9FC" w14:textId="77777777" w:rsidR="009D4A8F" w:rsidRDefault="009D4A8F" w:rsidP="003042AD">
            <w:pPr>
              <w:pStyle w:val="TableRowCentered"/>
              <w:spacing w:after="120"/>
              <w:jc w:val="left"/>
              <w:rPr>
                <w:color w:val="0070C0"/>
                <w:szCs w:val="24"/>
              </w:rPr>
            </w:pPr>
          </w:p>
          <w:p w14:paraId="2A7D552A" w14:textId="0380D3DF" w:rsidR="003042AD" w:rsidRDefault="003042AD" w:rsidP="000A3CFB">
            <w:pPr>
              <w:pStyle w:val="TableRowCentered"/>
              <w:spacing w:after="120"/>
              <w:jc w:val="left"/>
              <w:rPr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B" w14:textId="5CA56803" w:rsidR="003042AD" w:rsidRDefault="007831E9" w:rsidP="003042AD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1,4,5,6</w:t>
            </w:r>
          </w:p>
        </w:tc>
      </w:tr>
      <w:tr w:rsidR="003042AD" w14:paraId="2A7D5530" w14:textId="77777777" w:rsidTr="4D142DD8"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D" w14:textId="5C077EDA" w:rsidR="003042AD" w:rsidRDefault="003042AD" w:rsidP="003042AD">
            <w:pPr>
              <w:pStyle w:val="TableRow"/>
              <w:rPr>
                <w:i/>
                <w:sz w:val="22"/>
              </w:rPr>
            </w:pPr>
            <w:r w:rsidRPr="00E27862">
              <w:rPr>
                <w:rFonts w:cs="Arial"/>
                <w:iCs/>
                <w:color w:val="auto"/>
                <w:lang w:val="en-US"/>
              </w:rPr>
              <w:t xml:space="preserve">Additional phonics sessions targeted at disadvantaged pupils who require further phonics support. </w:t>
            </w:r>
          </w:p>
        </w:tc>
        <w:tc>
          <w:tcPr>
            <w:tcW w:w="4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8C1AF" w14:textId="77777777" w:rsidR="003042AD" w:rsidRPr="00E27862" w:rsidRDefault="003042AD" w:rsidP="003042AD">
            <w:pPr>
              <w:pStyle w:val="TableRowCentered"/>
              <w:jc w:val="left"/>
              <w:rPr>
                <w:rFonts w:cs="Arial"/>
                <w:color w:val="auto"/>
                <w:szCs w:val="24"/>
              </w:rPr>
            </w:pPr>
            <w:r w:rsidRPr="00E27862">
              <w:rPr>
                <w:rFonts w:cs="Arial"/>
                <w:color w:val="auto"/>
                <w:szCs w:val="24"/>
              </w:rPr>
              <w:t>Phonics approaches have a strong evidence base indicating a positive impact on pupils, particularly from disadvantaged backgrounds. Targeted phonics interventions have been shown to be more effective when delivered as regular sessions over a period up to 12 weeks:</w:t>
            </w:r>
          </w:p>
          <w:p w14:paraId="1CFF4394" w14:textId="77777777" w:rsidR="003042AD" w:rsidRDefault="002A0DBC" w:rsidP="003042AD">
            <w:pPr>
              <w:pStyle w:val="TableRowCentered"/>
              <w:jc w:val="left"/>
              <w:rPr>
                <w:color w:val="0070C0"/>
                <w:szCs w:val="24"/>
                <w:u w:val="single"/>
              </w:rPr>
            </w:pPr>
            <w:hyperlink r:id="rId21" w:history="1">
              <w:r w:rsidR="003042AD" w:rsidRPr="00094874">
                <w:rPr>
                  <w:color w:val="0070C0"/>
                  <w:szCs w:val="24"/>
                  <w:u w:val="single"/>
                </w:rPr>
                <w:t>Phonics | Toolkit Strand | Education Endowment Foundation | EEF</w:t>
              </w:r>
            </w:hyperlink>
          </w:p>
          <w:p w14:paraId="2A7D552E" w14:textId="36D42449" w:rsidR="002A42D8" w:rsidRDefault="002A42D8" w:rsidP="003042AD">
            <w:pPr>
              <w:pStyle w:val="TableRowCentered"/>
              <w:jc w:val="left"/>
              <w:rPr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F" w14:textId="189EEB44" w:rsidR="003042AD" w:rsidRDefault="00444EE6" w:rsidP="003042AD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3042AD" w14:paraId="541F5C18" w14:textId="77777777" w:rsidTr="4D142DD8"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27E7C" w14:textId="521CF124" w:rsidR="003042AD" w:rsidRPr="00E27862" w:rsidRDefault="003042AD" w:rsidP="003042AD">
            <w:pPr>
              <w:pStyle w:val="TableRow"/>
              <w:rPr>
                <w:rFonts w:cs="Arial"/>
                <w:iCs/>
                <w:color w:val="auto"/>
                <w:lang w:val="en-US"/>
              </w:rPr>
            </w:pPr>
            <w:r w:rsidRPr="00E27862">
              <w:rPr>
                <w:rFonts w:cs="Arial"/>
                <w:iCs/>
                <w:color w:val="auto"/>
                <w:lang w:val="en-US"/>
              </w:rPr>
              <w:t>Engaging with the National Tutoring Pro-</w:t>
            </w:r>
            <w:r w:rsidRPr="00E27862">
              <w:rPr>
                <w:rFonts w:cs="Arial"/>
                <w:iCs/>
                <w:color w:val="auto"/>
                <w:lang w:val="en-US"/>
              </w:rPr>
              <w:lastRenderedPageBreak/>
              <w:t>gramme to provide a blend of tuition, mentoring and school-led tutoring for pupils whose education has been most impacted by the pandemic. A significant proportion of the pupils who receive tutoring will be disadvantaged, including those who are high attainers.</w:t>
            </w:r>
          </w:p>
        </w:tc>
        <w:tc>
          <w:tcPr>
            <w:tcW w:w="4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0CDC2" w14:textId="77777777" w:rsidR="008F0C3C" w:rsidRDefault="008F0C3C" w:rsidP="003042AD">
            <w:pPr>
              <w:suppressAutoHyphens w:val="0"/>
              <w:autoSpaceDN/>
              <w:spacing w:before="60" w:after="60" w:line="240" w:lineRule="auto"/>
              <w:ind w:left="57" w:right="57"/>
              <w:rPr>
                <w:color w:val="auto"/>
                <w:highlight w:val="yellow"/>
              </w:rPr>
            </w:pPr>
          </w:p>
          <w:p w14:paraId="3B5BC58D" w14:textId="090A0224" w:rsidR="003042AD" w:rsidRPr="00E27862" w:rsidRDefault="383CF0D6" w:rsidP="003042AD">
            <w:pPr>
              <w:suppressAutoHyphens w:val="0"/>
              <w:autoSpaceDN/>
              <w:spacing w:before="60" w:after="60" w:line="240" w:lineRule="auto"/>
              <w:ind w:left="57" w:right="57"/>
              <w:rPr>
                <w:color w:val="auto"/>
              </w:rPr>
            </w:pPr>
            <w:r w:rsidRPr="4D142DD8">
              <w:rPr>
                <w:color w:val="auto"/>
              </w:rPr>
              <w:lastRenderedPageBreak/>
              <w:t>Tuition targeted at specific needs and knowledge gaps can be an effective method to support low attaining pupils or those falling behind, both one-to-one:</w:t>
            </w:r>
          </w:p>
          <w:p w14:paraId="4AB67309" w14:textId="77777777" w:rsidR="003042AD" w:rsidRPr="00094874" w:rsidRDefault="002A0DBC" w:rsidP="003042AD">
            <w:pPr>
              <w:suppressAutoHyphens w:val="0"/>
              <w:autoSpaceDN/>
              <w:spacing w:before="60" w:after="60" w:line="240" w:lineRule="auto"/>
              <w:ind w:left="57" w:right="57"/>
              <w:rPr>
                <w:color w:val="0070C0"/>
              </w:rPr>
            </w:pPr>
            <w:hyperlink r:id="rId22" w:history="1">
              <w:r w:rsidR="003042AD" w:rsidRPr="00094874">
                <w:rPr>
                  <w:color w:val="0070C0"/>
                  <w:u w:val="single"/>
                </w:rPr>
                <w:t>One to one tuition | EEF (educationendowmentfoundation.org.uk)</w:t>
              </w:r>
            </w:hyperlink>
          </w:p>
          <w:p w14:paraId="5467FEAE" w14:textId="77777777" w:rsidR="003042AD" w:rsidRPr="00E27862" w:rsidRDefault="003042AD" w:rsidP="003042AD">
            <w:pPr>
              <w:suppressAutoHyphens w:val="0"/>
              <w:autoSpaceDN/>
              <w:spacing w:before="60" w:after="60" w:line="240" w:lineRule="auto"/>
              <w:ind w:left="57" w:right="57"/>
              <w:rPr>
                <w:color w:val="auto"/>
              </w:rPr>
            </w:pPr>
            <w:r w:rsidRPr="00E27862">
              <w:rPr>
                <w:color w:val="auto"/>
              </w:rPr>
              <w:t>And in small groups:</w:t>
            </w:r>
          </w:p>
          <w:p w14:paraId="7EFB5B56" w14:textId="77777777" w:rsidR="003042AD" w:rsidRDefault="002A0DBC" w:rsidP="003042AD">
            <w:pPr>
              <w:pStyle w:val="TableRowCentered"/>
              <w:jc w:val="left"/>
              <w:rPr>
                <w:color w:val="0070C0"/>
                <w:u w:val="single"/>
              </w:rPr>
            </w:pPr>
            <w:hyperlink r:id="rId23" w:history="1">
              <w:r w:rsidR="003042AD" w:rsidRPr="009A7AA4">
                <w:rPr>
                  <w:color w:val="0070C0"/>
                  <w:u w:val="single"/>
                </w:rPr>
                <w:t>Small group tuition | Toolkit Strand | Education Endowment Foundation | EEF</w:t>
              </w:r>
            </w:hyperlink>
          </w:p>
          <w:p w14:paraId="739D39D5" w14:textId="77777777" w:rsidR="002A42D8" w:rsidRDefault="002A42D8" w:rsidP="003042AD">
            <w:pPr>
              <w:pStyle w:val="TableRowCentered"/>
              <w:jc w:val="left"/>
              <w:rPr>
                <w:color w:val="auto"/>
                <w:szCs w:val="24"/>
              </w:rPr>
            </w:pPr>
          </w:p>
          <w:p w14:paraId="20CB429A" w14:textId="4A74DF86" w:rsidR="002A42D8" w:rsidRPr="00E27862" w:rsidRDefault="002A42D8" w:rsidP="00BD2233">
            <w:pPr>
              <w:pStyle w:val="TableRowCentered"/>
              <w:jc w:val="left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6C279" w14:textId="7515D9FE" w:rsidR="003042AD" w:rsidRDefault="00CB36B2" w:rsidP="003042AD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>3,4,5</w:t>
            </w:r>
          </w:p>
        </w:tc>
      </w:tr>
      <w:tr w:rsidR="008A732B" w14:paraId="5E7803F1" w14:textId="77777777" w:rsidTr="4D142DD8"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34E53" w14:textId="74D69A10" w:rsidR="008A732B" w:rsidRDefault="008A732B" w:rsidP="003042AD">
            <w:pPr>
              <w:pStyle w:val="TableRow"/>
              <w:rPr>
                <w:rFonts w:cs="Arial"/>
                <w:iCs/>
                <w:color w:val="auto"/>
                <w:lang w:val="en-US"/>
              </w:rPr>
            </w:pPr>
            <w:r>
              <w:rPr>
                <w:rFonts w:cs="Arial"/>
                <w:iCs/>
                <w:color w:val="auto"/>
                <w:lang w:val="en-US"/>
              </w:rPr>
              <w:t>Provide oppo</w:t>
            </w:r>
            <w:r w:rsidR="00632A1E">
              <w:rPr>
                <w:rFonts w:cs="Arial"/>
                <w:iCs/>
                <w:color w:val="auto"/>
                <w:lang w:val="en-US"/>
              </w:rPr>
              <w:t xml:space="preserve">rtunities within provision areas for children to consolidate new information through </w:t>
            </w:r>
            <w:r w:rsidR="00890B37">
              <w:rPr>
                <w:rFonts w:cs="Arial"/>
                <w:iCs/>
                <w:color w:val="auto"/>
                <w:lang w:val="en-US"/>
              </w:rPr>
              <w:t xml:space="preserve">a variety of games, </w:t>
            </w:r>
            <w:proofErr w:type="gramStart"/>
            <w:r w:rsidR="00890B37">
              <w:rPr>
                <w:rFonts w:cs="Arial"/>
                <w:iCs/>
                <w:color w:val="auto"/>
                <w:lang w:val="en-US"/>
              </w:rPr>
              <w:t>techniques</w:t>
            </w:r>
            <w:proofErr w:type="gramEnd"/>
            <w:r w:rsidR="00890B37">
              <w:rPr>
                <w:rFonts w:cs="Arial"/>
                <w:iCs/>
                <w:color w:val="auto"/>
                <w:lang w:val="en-US"/>
              </w:rPr>
              <w:t xml:space="preserve"> and strategies</w:t>
            </w:r>
            <w:r w:rsidR="00632A1E">
              <w:rPr>
                <w:rFonts w:cs="Arial"/>
                <w:iCs/>
                <w:color w:val="auto"/>
                <w:lang w:val="en-US"/>
              </w:rPr>
              <w:t>.</w:t>
            </w:r>
          </w:p>
        </w:tc>
        <w:tc>
          <w:tcPr>
            <w:tcW w:w="4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214C1" w14:textId="5C3BE265" w:rsidR="008A732B" w:rsidRDefault="006E04B3" w:rsidP="003042AD">
            <w:pPr>
              <w:suppressAutoHyphens w:val="0"/>
              <w:autoSpaceDN/>
              <w:spacing w:before="60" w:after="60" w:line="240" w:lineRule="auto"/>
              <w:ind w:left="57" w:right="57"/>
            </w:pPr>
            <w:r>
              <w:t>It is</w:t>
            </w:r>
            <w:r w:rsidR="007A42DE">
              <w:t xml:space="preserve"> </w:t>
            </w:r>
            <w:r>
              <w:t xml:space="preserve">becoming increasingly clear that using spaced or distributed practice, where knowledge is rehearsed for short periods over a longer </w:t>
            </w:r>
            <w:r w:rsidR="000E633D">
              <w:t>period</w:t>
            </w:r>
            <w:r>
              <w:t>, is more effective than so</w:t>
            </w:r>
            <w:r w:rsidR="007A42DE">
              <w:t xml:space="preserve"> </w:t>
            </w:r>
            <w:r>
              <w:t>called massed practice</w:t>
            </w:r>
          </w:p>
          <w:p w14:paraId="64E5B579" w14:textId="77777777" w:rsidR="003F35C2" w:rsidRDefault="003F35C2" w:rsidP="003042AD">
            <w:pPr>
              <w:suppressAutoHyphens w:val="0"/>
              <w:autoSpaceDN/>
              <w:spacing w:before="60" w:after="60" w:line="240" w:lineRule="auto"/>
              <w:ind w:left="57" w:right="57"/>
            </w:pPr>
          </w:p>
          <w:p w14:paraId="77133767" w14:textId="77777777" w:rsidR="006E04B3" w:rsidRDefault="006E04B3" w:rsidP="003042AD">
            <w:pPr>
              <w:suppressAutoHyphens w:val="0"/>
              <w:autoSpaceDN/>
              <w:spacing w:before="60" w:after="60" w:line="240" w:lineRule="auto"/>
              <w:ind w:left="57" w:right="57"/>
            </w:pPr>
          </w:p>
          <w:p w14:paraId="3B409A13" w14:textId="40C6C4D1" w:rsidR="006E04B3" w:rsidRPr="00E27862" w:rsidRDefault="002A0DBC" w:rsidP="003042AD">
            <w:pPr>
              <w:suppressAutoHyphens w:val="0"/>
              <w:autoSpaceDN/>
              <w:spacing w:before="60" w:after="60" w:line="240" w:lineRule="auto"/>
              <w:ind w:left="57" w:right="57"/>
              <w:rPr>
                <w:color w:val="auto"/>
              </w:rPr>
            </w:pPr>
            <w:hyperlink r:id="rId24" w:history="1">
              <w:r w:rsidR="006E04B3" w:rsidRPr="006E04B3">
                <w:rPr>
                  <w:rStyle w:val="Hyperlink"/>
                </w:rPr>
                <w:t>Cognitive Science Approache</w:t>
              </w:r>
              <w:r w:rsidR="006E04B3">
                <w:rPr>
                  <w:rStyle w:val="Hyperlink"/>
                </w:rPr>
                <w:t>s</w:t>
              </w:r>
              <w:r w:rsidR="006E04B3" w:rsidRPr="006E04B3">
                <w:rPr>
                  <w:rStyle w:val="Hyperlink"/>
                </w:rPr>
                <w:t xml:space="preserve"> EEF</w:t>
              </w:r>
            </w:hyperlink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38F2A" w14:textId="2D870ADD" w:rsidR="008A732B" w:rsidRDefault="005C4BF9" w:rsidP="003042AD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1,2,3,4,5,6</w:t>
            </w:r>
          </w:p>
        </w:tc>
      </w:tr>
      <w:tr w:rsidR="000D6068" w14:paraId="46A75676" w14:textId="77777777" w:rsidTr="4D142DD8"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B9F41" w14:textId="4FBF9060" w:rsidR="000D6068" w:rsidRDefault="000D6068" w:rsidP="000D6068">
            <w:pPr>
              <w:pStyle w:val="TableRow"/>
              <w:rPr>
                <w:rFonts w:cs="Arial"/>
                <w:iCs/>
                <w:color w:val="auto"/>
                <w:lang w:val="en-US"/>
              </w:rPr>
            </w:pPr>
            <w:r>
              <w:rPr>
                <w:color w:val="auto"/>
              </w:rPr>
              <w:t xml:space="preserve">Access to Technology </w:t>
            </w:r>
          </w:p>
        </w:tc>
        <w:tc>
          <w:tcPr>
            <w:tcW w:w="4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2A179" w14:textId="77777777" w:rsidR="000D6068" w:rsidRDefault="000D6068" w:rsidP="000D6068">
            <w:pPr>
              <w:suppressAutoHyphens w:val="0"/>
              <w:autoSpaceDN/>
              <w:spacing w:before="60" w:after="120" w:line="240" w:lineRule="auto"/>
              <w:ind w:left="57" w:right="57"/>
              <w:rPr>
                <w:color w:val="auto"/>
              </w:rPr>
            </w:pPr>
            <w:r>
              <w:rPr>
                <w:color w:val="auto"/>
              </w:rPr>
              <w:t>Remote learning uptake was significantly lower for disadvantaged students due to a lack of access to IT.</w:t>
            </w:r>
          </w:p>
          <w:p w14:paraId="5A797008" w14:textId="7CC95653" w:rsidR="000D6068" w:rsidRDefault="000D6068" w:rsidP="000D6068">
            <w:pPr>
              <w:suppressAutoHyphens w:val="0"/>
              <w:autoSpaceDN/>
              <w:spacing w:before="60" w:after="60" w:line="240" w:lineRule="auto"/>
              <w:ind w:left="57" w:right="57"/>
            </w:pPr>
            <w:r>
              <w:rPr>
                <w:color w:val="auto"/>
              </w:rPr>
              <w:t>Continue to work with the DfE/Trust to ensure digital devices for those eligible can be claimed.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BC090" w14:textId="5301B746" w:rsidR="000D6068" w:rsidRDefault="000D6068" w:rsidP="000D6068">
            <w:pPr>
              <w:pStyle w:val="TableRowCentered"/>
              <w:jc w:val="left"/>
              <w:rPr>
                <w:sz w:val="22"/>
              </w:rPr>
            </w:pPr>
            <w:r>
              <w:rPr>
                <w:color w:val="auto"/>
                <w:szCs w:val="24"/>
              </w:rPr>
              <w:t>1,2,3,4</w:t>
            </w:r>
          </w:p>
        </w:tc>
      </w:tr>
      <w:tr w:rsidR="000E3063" w14:paraId="26E50AC8" w14:textId="77777777" w:rsidTr="4D142DD8"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730FE" w14:textId="40E694C1" w:rsidR="000E3063" w:rsidRDefault="000E3063" w:rsidP="000E3063">
            <w:pPr>
              <w:pStyle w:val="TableRow"/>
              <w:rPr>
                <w:color w:val="auto"/>
              </w:rPr>
            </w:pPr>
            <w:r>
              <w:rPr>
                <w:color w:val="auto"/>
              </w:rPr>
              <w:t>Embed knowledge organisers to be used for effective home learning</w:t>
            </w:r>
          </w:p>
        </w:tc>
        <w:tc>
          <w:tcPr>
            <w:tcW w:w="4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57977" w14:textId="77777777" w:rsidR="000E3063" w:rsidRDefault="000E3063" w:rsidP="000E3063">
            <w:pPr>
              <w:suppressAutoHyphens w:val="0"/>
              <w:autoSpaceDN/>
              <w:spacing w:before="60" w:after="60" w:line="240" w:lineRule="auto"/>
              <w:ind w:left="57" w:right="57"/>
            </w:pPr>
            <w:r>
              <w:t>It is becoming increasingly clear that using spaced or distributed practice, where knowledge is rehearsed for short periods over a longer period, is more effective than so called massed practice.</w:t>
            </w:r>
          </w:p>
          <w:p w14:paraId="4671C3C4" w14:textId="77777777" w:rsidR="000E3063" w:rsidRDefault="000E3063" w:rsidP="000E3063">
            <w:pPr>
              <w:suppressAutoHyphens w:val="0"/>
              <w:autoSpaceDN/>
              <w:spacing w:before="60" w:after="60" w:line="240" w:lineRule="auto"/>
              <w:ind w:right="57"/>
            </w:pPr>
          </w:p>
          <w:p w14:paraId="565F7815" w14:textId="15700182" w:rsidR="000E3063" w:rsidRDefault="002A0DBC" w:rsidP="000E3063">
            <w:pPr>
              <w:suppressAutoHyphens w:val="0"/>
              <w:autoSpaceDN/>
              <w:spacing w:before="60" w:after="60" w:line="240" w:lineRule="auto"/>
              <w:ind w:left="57" w:right="57"/>
              <w:rPr>
                <w:color w:val="auto"/>
              </w:rPr>
            </w:pPr>
            <w:hyperlink r:id="rId25" w:history="1">
              <w:r w:rsidR="000E3063" w:rsidRPr="006E04B3">
                <w:rPr>
                  <w:rStyle w:val="Hyperlink"/>
                </w:rPr>
                <w:t>Cognitive Science Approache</w:t>
              </w:r>
              <w:r w:rsidR="000E3063">
                <w:rPr>
                  <w:rStyle w:val="Hyperlink"/>
                </w:rPr>
                <w:t>s</w:t>
              </w:r>
              <w:r w:rsidR="000E3063" w:rsidRPr="006E04B3">
                <w:rPr>
                  <w:rStyle w:val="Hyperlink"/>
                </w:rPr>
                <w:t xml:space="preserve"> EEF</w:t>
              </w:r>
            </w:hyperlink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EA88E" w14:textId="04F6A0C3" w:rsidR="000E3063" w:rsidRDefault="000E3063" w:rsidP="000E3063">
            <w:pPr>
              <w:pStyle w:val="TableRowCentered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1,2,3</w:t>
            </w:r>
          </w:p>
        </w:tc>
      </w:tr>
      <w:tr w:rsidR="000357A4" w14:paraId="43D120AF" w14:textId="77777777" w:rsidTr="4D142DD8"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39A24" w14:textId="21CA2D58" w:rsidR="000357A4" w:rsidRDefault="000357A4" w:rsidP="000357A4">
            <w:pPr>
              <w:pStyle w:val="TableRow"/>
              <w:rPr>
                <w:color w:val="auto"/>
              </w:rPr>
            </w:pPr>
            <w:r>
              <w:rPr>
                <w:color w:val="auto"/>
              </w:rPr>
              <w:t>Purchase Lexia Learning to support students with low level literacy levels</w:t>
            </w:r>
          </w:p>
        </w:tc>
        <w:tc>
          <w:tcPr>
            <w:tcW w:w="4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BEEF8" w14:textId="77777777" w:rsidR="000357A4" w:rsidRDefault="000357A4" w:rsidP="000357A4">
            <w:pPr>
              <w:suppressAutoHyphens w:val="0"/>
              <w:autoSpaceDN/>
              <w:spacing w:before="60" w:after="60" w:line="240" w:lineRule="auto"/>
              <w:ind w:left="57" w:right="57"/>
              <w:rPr>
                <w:color w:val="auto"/>
              </w:rPr>
            </w:pPr>
            <w:r>
              <w:rPr>
                <w:color w:val="auto"/>
              </w:rPr>
              <w:t>Effective reading strategies both in and beyond the classroom have a positive impact on students’ ability to access the taught curriculum.</w:t>
            </w:r>
          </w:p>
          <w:p w14:paraId="378D180B" w14:textId="3C0B1CFE" w:rsidR="008C3980" w:rsidRDefault="008C3980" w:rsidP="000357A4">
            <w:pPr>
              <w:suppressAutoHyphens w:val="0"/>
              <w:autoSpaceDN/>
              <w:spacing w:before="60" w:after="60" w:line="240" w:lineRule="auto"/>
              <w:ind w:left="57" w:right="57"/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023FB" w14:textId="2D58231C" w:rsidR="000357A4" w:rsidRDefault="000357A4" w:rsidP="000357A4">
            <w:pPr>
              <w:pStyle w:val="TableRowCentered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1,2,3,4</w:t>
            </w:r>
          </w:p>
        </w:tc>
      </w:tr>
      <w:tr w:rsidR="00CF6C65" w14:paraId="7987AE1E" w14:textId="77777777" w:rsidTr="4D142DD8"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78AFF" w14:textId="10373795" w:rsidR="00CF6C65" w:rsidRDefault="00CF6C65" w:rsidP="00CF6C65">
            <w:pPr>
              <w:pStyle w:val="TableRow"/>
              <w:rPr>
                <w:color w:val="auto"/>
              </w:rPr>
            </w:pPr>
            <w:r>
              <w:rPr>
                <w:color w:val="auto"/>
              </w:rPr>
              <w:t>Embed subject specific targeted interventions to accelerate progress and address learning gaps</w:t>
            </w:r>
          </w:p>
        </w:tc>
        <w:tc>
          <w:tcPr>
            <w:tcW w:w="4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C12DE" w14:textId="77777777" w:rsidR="00CF6C65" w:rsidRDefault="00CF6C65" w:rsidP="00CF6C65">
            <w:pPr>
              <w:suppressAutoHyphens w:val="0"/>
              <w:autoSpaceDN/>
              <w:spacing w:before="60" w:after="120" w:line="240" w:lineRule="auto"/>
              <w:ind w:left="57" w:right="57"/>
              <w:rPr>
                <w:color w:val="auto"/>
              </w:rPr>
            </w:pPr>
            <w:r>
              <w:rPr>
                <w:color w:val="auto"/>
              </w:rPr>
              <w:t>Great teaching and targeted approaches to meet the needs of individuals</w:t>
            </w:r>
            <w:r w:rsidRPr="00756A24">
              <w:rPr>
                <w:color w:val="auto"/>
              </w:rPr>
              <w:t xml:space="preserve"> is the most important lever schools </w:t>
            </w:r>
            <w:proofErr w:type="gramStart"/>
            <w:r w:rsidRPr="00756A24">
              <w:rPr>
                <w:color w:val="auto"/>
              </w:rPr>
              <w:t>have</w:t>
            </w:r>
            <w:r>
              <w:rPr>
                <w:color w:val="auto"/>
              </w:rPr>
              <w:t xml:space="preserve"> </w:t>
            </w:r>
            <w:r w:rsidRPr="00756A24">
              <w:rPr>
                <w:color w:val="auto"/>
              </w:rPr>
              <w:t>to</w:t>
            </w:r>
            <w:proofErr w:type="gramEnd"/>
            <w:r w:rsidRPr="00756A24">
              <w:rPr>
                <w:color w:val="auto"/>
              </w:rPr>
              <w:t xml:space="preserve"> improve pupil attainment</w:t>
            </w:r>
            <w:r>
              <w:rPr>
                <w:color w:val="auto"/>
              </w:rPr>
              <w:t xml:space="preserve">. </w:t>
            </w:r>
          </w:p>
          <w:p w14:paraId="43B7D1D8" w14:textId="77777777" w:rsidR="00CF6C65" w:rsidRDefault="002A0DBC" w:rsidP="00CF6C65">
            <w:pPr>
              <w:suppressAutoHyphens w:val="0"/>
              <w:autoSpaceDN/>
              <w:spacing w:before="60" w:after="60" w:line="240" w:lineRule="auto"/>
              <w:ind w:left="57" w:right="57"/>
              <w:rPr>
                <w:rStyle w:val="Hyperlink"/>
              </w:rPr>
            </w:pPr>
            <w:hyperlink r:id="rId26" w:history="1">
              <w:r w:rsidR="00CF6C65" w:rsidRPr="007C592E">
                <w:rPr>
                  <w:rStyle w:val="Hyperlink"/>
                </w:rPr>
                <w:t>EEF Teaching and Learning Toolkit</w:t>
              </w:r>
            </w:hyperlink>
          </w:p>
          <w:p w14:paraId="6E0C1B8C" w14:textId="0EF0842B" w:rsidR="00E32ECE" w:rsidRPr="00E32ECE" w:rsidRDefault="00E32ECE" w:rsidP="00CF6C65">
            <w:pPr>
              <w:suppressAutoHyphens w:val="0"/>
              <w:autoSpaceDN/>
              <w:spacing w:before="60" w:after="60" w:line="240" w:lineRule="auto"/>
              <w:ind w:left="57" w:right="57"/>
              <w:rPr>
                <w:color w:val="auto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9AB90" w14:textId="7753C9D8" w:rsidR="00CF6C65" w:rsidRDefault="00CF6C65" w:rsidP="00CF6C65">
            <w:pPr>
              <w:pStyle w:val="TableRowCentered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1,2,3,4</w:t>
            </w:r>
          </w:p>
        </w:tc>
      </w:tr>
      <w:tr w:rsidR="00563C44" w14:paraId="54C124C0" w14:textId="77777777" w:rsidTr="4D142DD8"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42421" w14:textId="414554BC" w:rsidR="00563C44" w:rsidRDefault="00563C44" w:rsidP="00563C44">
            <w:pPr>
              <w:pStyle w:val="TableRow"/>
              <w:rPr>
                <w:rFonts w:cs="Arial"/>
                <w:iCs/>
                <w:color w:val="auto"/>
                <w:lang w:val="en-US"/>
              </w:rPr>
            </w:pPr>
            <w:r>
              <w:rPr>
                <w:color w:val="auto"/>
              </w:rPr>
              <w:t>Learning and Cognition base</w:t>
            </w:r>
          </w:p>
        </w:tc>
        <w:tc>
          <w:tcPr>
            <w:tcW w:w="4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646DC" w14:textId="77777777" w:rsidR="00563C44" w:rsidRDefault="00563C44" w:rsidP="00563C44">
            <w:pPr>
              <w:suppressAutoHyphens w:val="0"/>
              <w:autoSpaceDN/>
              <w:spacing w:before="60" w:after="60" w:line="240" w:lineRule="auto"/>
              <w:ind w:left="57" w:right="57"/>
              <w:rPr>
                <w:color w:val="auto"/>
              </w:rPr>
            </w:pPr>
            <w:r>
              <w:rPr>
                <w:color w:val="auto"/>
              </w:rPr>
              <w:t xml:space="preserve">Year 6 transition data highlighted an increase in the number of disadvantaged </w:t>
            </w:r>
            <w:r>
              <w:rPr>
                <w:color w:val="auto"/>
              </w:rPr>
              <w:lastRenderedPageBreak/>
              <w:t>students with a cognition and learning need.</w:t>
            </w:r>
          </w:p>
          <w:p w14:paraId="3A6B09F0" w14:textId="2C3F2EBB" w:rsidR="00E32ECE" w:rsidRDefault="00E32ECE" w:rsidP="00563C44">
            <w:pPr>
              <w:suppressAutoHyphens w:val="0"/>
              <w:autoSpaceDN/>
              <w:spacing w:before="60" w:after="60" w:line="240" w:lineRule="auto"/>
              <w:ind w:left="57" w:right="57"/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91115" w14:textId="2B36280B" w:rsidR="00563C44" w:rsidRDefault="00563C44" w:rsidP="00563C44">
            <w:pPr>
              <w:pStyle w:val="TableRowCentered"/>
              <w:jc w:val="left"/>
              <w:rPr>
                <w:sz w:val="22"/>
              </w:rPr>
            </w:pPr>
            <w:r>
              <w:rPr>
                <w:color w:val="auto"/>
                <w:szCs w:val="24"/>
              </w:rPr>
              <w:lastRenderedPageBreak/>
              <w:t>1,4,5</w:t>
            </w:r>
          </w:p>
        </w:tc>
      </w:tr>
    </w:tbl>
    <w:p w14:paraId="2A7D5531" w14:textId="77777777" w:rsidR="00E66558" w:rsidRDefault="00E66558">
      <w:pPr>
        <w:spacing w:after="0"/>
        <w:rPr>
          <w:b/>
          <w:color w:val="104F75"/>
          <w:sz w:val="28"/>
          <w:szCs w:val="28"/>
        </w:rPr>
      </w:pPr>
    </w:p>
    <w:p w14:paraId="2A7D5532" w14:textId="59A68BC3" w:rsidR="00E66558" w:rsidRDefault="009D71E8">
      <w:pPr>
        <w:rPr>
          <w:b/>
          <w:color w:val="104F75"/>
          <w:sz w:val="28"/>
          <w:szCs w:val="28"/>
        </w:rPr>
      </w:pPr>
      <w:r>
        <w:rPr>
          <w:b/>
          <w:color w:val="104F75"/>
          <w:sz w:val="28"/>
          <w:szCs w:val="28"/>
        </w:rPr>
        <w:t>Wider strategies (for example, related to attendance, behaviour, wellbeing)</w:t>
      </w:r>
    </w:p>
    <w:p w14:paraId="2A7D5533" w14:textId="64B637E8" w:rsidR="00E66558" w:rsidRDefault="009D71E8" w:rsidP="009C6FC2">
      <w:r>
        <w:t xml:space="preserve">Budgeted cost: </w:t>
      </w:r>
      <w:r w:rsidR="003C1C6E">
        <w:t>£</w:t>
      </w:r>
      <w:r w:rsidR="003B1D23">
        <w:t>2</w:t>
      </w:r>
      <w:r w:rsidR="003C1C6E">
        <w:t>22, 508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02"/>
        <w:gridCol w:w="4627"/>
        <w:gridCol w:w="2257"/>
      </w:tblGrid>
      <w:tr w:rsidR="00E66558" w14:paraId="2A7D5537" w14:textId="77777777" w:rsidTr="007A42DE"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4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5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6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BC2643" w14:paraId="2A7D553F" w14:textId="77777777" w:rsidTr="007A42DE"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81668" w14:textId="77777777" w:rsidR="00BC2643" w:rsidRDefault="0063459A" w:rsidP="00BC2643">
            <w:pPr>
              <w:pStyle w:val="TableRow"/>
              <w:rPr>
                <w:iCs/>
                <w:sz w:val="22"/>
              </w:rPr>
            </w:pPr>
            <w:r w:rsidRPr="00331F4D">
              <w:rPr>
                <w:iCs/>
                <w:szCs w:val="28"/>
              </w:rPr>
              <w:t xml:space="preserve">Appoint and train </w:t>
            </w:r>
            <w:r w:rsidR="00D1259D" w:rsidRPr="00331F4D">
              <w:rPr>
                <w:iCs/>
                <w:szCs w:val="28"/>
              </w:rPr>
              <w:t xml:space="preserve">staff to support children with </w:t>
            </w:r>
            <w:r w:rsidR="00331F4D" w:rsidRPr="00331F4D">
              <w:rPr>
                <w:iCs/>
                <w:szCs w:val="28"/>
              </w:rPr>
              <w:t>self-regulation</w:t>
            </w:r>
            <w:r w:rsidR="00D1259D" w:rsidRPr="00331F4D">
              <w:rPr>
                <w:iCs/>
                <w:szCs w:val="28"/>
              </w:rPr>
              <w:t xml:space="preserve"> and emotional </w:t>
            </w:r>
            <w:r w:rsidR="00331F4D" w:rsidRPr="00331F4D">
              <w:rPr>
                <w:iCs/>
                <w:szCs w:val="28"/>
              </w:rPr>
              <w:t>wellbeing</w:t>
            </w:r>
            <w:r w:rsidR="00D1259D">
              <w:rPr>
                <w:iCs/>
                <w:sz w:val="22"/>
              </w:rPr>
              <w:t xml:space="preserve">. </w:t>
            </w:r>
          </w:p>
          <w:p w14:paraId="5072BD16" w14:textId="77777777" w:rsidR="00E04DF3" w:rsidRDefault="00E04DF3" w:rsidP="00BC2643">
            <w:pPr>
              <w:pStyle w:val="TableRow"/>
              <w:rPr>
                <w:iCs/>
                <w:sz w:val="22"/>
              </w:rPr>
            </w:pPr>
          </w:p>
          <w:p w14:paraId="2A7D553C" w14:textId="444AE50E" w:rsidR="00E04DF3" w:rsidRPr="0063459A" w:rsidRDefault="00E04DF3" w:rsidP="00BC2643">
            <w:pPr>
              <w:pStyle w:val="TableRow"/>
              <w:rPr>
                <w:iCs/>
                <w:sz w:val="22"/>
              </w:rPr>
            </w:pPr>
            <w:r>
              <w:rPr>
                <w:iCs/>
                <w:sz w:val="22"/>
              </w:rPr>
              <w:t>(2X L</w:t>
            </w:r>
            <w:r w:rsidR="00127DCB">
              <w:rPr>
                <w:iCs/>
                <w:sz w:val="22"/>
              </w:rPr>
              <w:t>earning Mentors</w:t>
            </w:r>
            <w:r w:rsidR="0054236E">
              <w:rPr>
                <w:iCs/>
                <w:sz w:val="22"/>
              </w:rPr>
              <w:t xml:space="preserve"> and speci</w:t>
            </w:r>
            <w:r w:rsidR="004619E4">
              <w:rPr>
                <w:iCs/>
                <w:sz w:val="22"/>
              </w:rPr>
              <w:t>alist SEMH base for Secondary students</w:t>
            </w:r>
            <w:r w:rsidR="00127DCB">
              <w:rPr>
                <w:iCs/>
                <w:sz w:val="22"/>
              </w:rPr>
              <w:t>)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99EF8" w14:textId="77777777" w:rsidR="00BC2643" w:rsidRPr="00E27862" w:rsidRDefault="00BC2643" w:rsidP="00BC2643">
            <w:pPr>
              <w:pStyle w:val="TableRowCentered"/>
              <w:ind w:left="32"/>
              <w:jc w:val="left"/>
              <w:rPr>
                <w:color w:val="auto"/>
              </w:rPr>
            </w:pPr>
            <w:r w:rsidRPr="00E27862">
              <w:rPr>
                <w:color w:val="auto"/>
              </w:rPr>
              <w:t>Both targeted interventions and universal approaches can have positive overall effects:</w:t>
            </w:r>
          </w:p>
          <w:p w14:paraId="4E4040EC" w14:textId="77777777" w:rsidR="00BC2643" w:rsidRDefault="002A0DBC" w:rsidP="00BC2643">
            <w:pPr>
              <w:pStyle w:val="TableRowCentered"/>
              <w:jc w:val="left"/>
              <w:rPr>
                <w:color w:val="0070C0"/>
                <w:szCs w:val="24"/>
                <w:u w:val="single"/>
              </w:rPr>
            </w:pPr>
            <w:hyperlink r:id="rId27" w:history="1">
              <w:r w:rsidR="00BC2643" w:rsidRPr="009A7AA4">
                <w:rPr>
                  <w:color w:val="0070C0"/>
                  <w:szCs w:val="24"/>
                  <w:u w:val="single"/>
                </w:rPr>
                <w:t>Behaviour interventions | EEF (educationendowmentfoundation.org.uk)</w:t>
              </w:r>
            </w:hyperlink>
          </w:p>
          <w:p w14:paraId="2A7D553D" w14:textId="14DC1FD6" w:rsidR="003F35C2" w:rsidRDefault="003F35C2" w:rsidP="00BC2643">
            <w:pPr>
              <w:pStyle w:val="TableRowCentered"/>
              <w:jc w:val="left"/>
              <w:rPr>
                <w:sz w:val="22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E" w14:textId="54E14677" w:rsidR="00BC2643" w:rsidRDefault="00945FA9" w:rsidP="00BC2643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4,5,6</w:t>
            </w:r>
          </w:p>
        </w:tc>
      </w:tr>
      <w:tr w:rsidR="00CF0FDA" w14:paraId="37DF0827" w14:textId="77777777" w:rsidTr="007A42DE"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F6680" w14:textId="431CAEB2" w:rsidR="00CF0FDA" w:rsidRPr="00331F4D" w:rsidRDefault="00CF0FDA" w:rsidP="00CF0FDA">
            <w:pPr>
              <w:pStyle w:val="TableRow"/>
              <w:rPr>
                <w:iCs/>
                <w:szCs w:val="28"/>
              </w:rPr>
            </w:pPr>
            <w:r>
              <w:rPr>
                <w:rFonts w:cs="Arial"/>
                <w:color w:val="auto"/>
              </w:rPr>
              <w:t>Appointment of a Safeguarding Officer to provide individual support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2036D" w14:textId="77777777" w:rsidR="00CF0FDA" w:rsidRDefault="00CF0FDA" w:rsidP="00CF0FDA">
            <w:pPr>
              <w:pStyle w:val="TableRowCentered"/>
              <w:ind w:left="32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Increase in Child Protection and Child in Need threshold</w:t>
            </w:r>
          </w:p>
          <w:p w14:paraId="30EC1691" w14:textId="5BBE0093" w:rsidR="00790950" w:rsidRPr="00E27862" w:rsidRDefault="00790950" w:rsidP="00CF0FDA">
            <w:pPr>
              <w:pStyle w:val="TableRowCentered"/>
              <w:ind w:left="32"/>
              <w:jc w:val="left"/>
              <w:rPr>
                <w:color w:val="auto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A8FE4" w14:textId="05B979C8" w:rsidR="00CF0FDA" w:rsidRDefault="00CF0FDA" w:rsidP="00CF0FDA">
            <w:pPr>
              <w:pStyle w:val="TableRowCentered"/>
              <w:jc w:val="left"/>
              <w:rPr>
                <w:sz w:val="22"/>
              </w:rPr>
            </w:pPr>
            <w:r>
              <w:rPr>
                <w:rFonts w:cs="Arial"/>
                <w:color w:val="auto"/>
                <w:szCs w:val="24"/>
              </w:rPr>
              <w:t>4,5</w:t>
            </w:r>
          </w:p>
        </w:tc>
      </w:tr>
      <w:tr w:rsidR="00BC2643" w14:paraId="0A9587CC" w14:textId="77777777" w:rsidTr="007A42DE"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74CFE" w14:textId="77777777" w:rsidR="00BC2643" w:rsidRPr="00E27862" w:rsidRDefault="00BC2643" w:rsidP="00BC2643">
            <w:pPr>
              <w:pStyle w:val="TableRow"/>
              <w:spacing w:after="120"/>
              <w:ind w:left="29"/>
              <w:rPr>
                <w:iCs/>
                <w:color w:val="auto"/>
                <w:szCs w:val="28"/>
                <w:lang w:val="en-US"/>
              </w:rPr>
            </w:pPr>
            <w:r w:rsidRPr="00E27862">
              <w:rPr>
                <w:iCs/>
                <w:color w:val="auto"/>
                <w:szCs w:val="28"/>
                <w:lang w:val="en-US"/>
              </w:rPr>
              <w:t xml:space="preserve">Embedding principles of good practice set out in the DfE’s </w:t>
            </w:r>
            <w:hyperlink r:id="rId28" w:history="1">
              <w:r w:rsidRPr="009A7AA4">
                <w:rPr>
                  <w:rStyle w:val="Hyperlink"/>
                  <w:iCs/>
                  <w:color w:val="0070C0"/>
                  <w:szCs w:val="28"/>
                  <w:lang w:val="en-US"/>
                </w:rPr>
                <w:t>Improving School Attendance</w:t>
              </w:r>
            </w:hyperlink>
            <w:r w:rsidRPr="009A7AA4">
              <w:rPr>
                <w:iCs/>
                <w:color w:val="0070C0"/>
                <w:szCs w:val="28"/>
                <w:lang w:val="en-US"/>
              </w:rPr>
              <w:t xml:space="preserve"> </w:t>
            </w:r>
            <w:r w:rsidRPr="00E27862">
              <w:rPr>
                <w:iCs/>
                <w:color w:val="auto"/>
                <w:szCs w:val="28"/>
                <w:lang w:val="en-US"/>
              </w:rPr>
              <w:t>advice.</w:t>
            </w:r>
          </w:p>
          <w:p w14:paraId="2697622B" w14:textId="03E6A298" w:rsidR="00BC2643" w:rsidRPr="00E27862" w:rsidRDefault="002A121B" w:rsidP="00BC2643">
            <w:pPr>
              <w:pStyle w:val="TableRow"/>
              <w:rPr>
                <w:iCs/>
                <w:color w:val="auto"/>
                <w:szCs w:val="28"/>
                <w:lang w:val="en-US"/>
              </w:rPr>
            </w:pPr>
            <w:r>
              <w:rPr>
                <w:iCs/>
                <w:color w:val="auto"/>
                <w:szCs w:val="28"/>
                <w:lang w:val="en-US"/>
              </w:rPr>
              <w:t xml:space="preserve">Ensure that systems and procedures are applied consistently, and that parents fully understand the importance of attendance. </w:t>
            </w:r>
            <w:r w:rsidR="00BC2643" w:rsidRPr="00E27862">
              <w:rPr>
                <w:iCs/>
                <w:color w:val="auto"/>
                <w:szCs w:val="28"/>
                <w:lang w:val="en-US"/>
              </w:rPr>
              <w:t xml:space="preserve"> 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89416" w14:textId="77777777" w:rsidR="00BC2643" w:rsidRDefault="00BC2643" w:rsidP="00BC2643">
            <w:pPr>
              <w:pStyle w:val="TableRowCentered"/>
              <w:ind w:left="32"/>
              <w:jc w:val="left"/>
              <w:rPr>
                <w:color w:val="auto"/>
              </w:rPr>
            </w:pPr>
            <w:r w:rsidRPr="00E27862">
              <w:rPr>
                <w:color w:val="auto"/>
              </w:rPr>
              <w:t xml:space="preserve">The DfE guidance has been informed by engagement with schools that have significantly reduced levels of absence and persistent absence. </w:t>
            </w:r>
          </w:p>
          <w:p w14:paraId="189DD009" w14:textId="3349EEBC" w:rsidR="0026507A" w:rsidRPr="00E27862" w:rsidRDefault="0026507A" w:rsidP="00BC2643">
            <w:pPr>
              <w:pStyle w:val="TableRowCentered"/>
              <w:ind w:left="32"/>
              <w:jc w:val="left"/>
              <w:rPr>
                <w:color w:val="auto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29686" w14:textId="015AFB9A" w:rsidR="00BC2643" w:rsidRDefault="001E758D" w:rsidP="00BC2643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 w:rsidR="001E758D" w14:paraId="1832118C" w14:textId="77777777" w:rsidTr="007A42DE"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0426A" w14:textId="77777777" w:rsidR="001E758D" w:rsidRDefault="001E758D" w:rsidP="001E758D">
            <w:pPr>
              <w:pStyle w:val="TableRow"/>
              <w:spacing w:after="120"/>
              <w:ind w:left="29"/>
              <w:rPr>
                <w:iCs/>
                <w:color w:val="auto"/>
                <w:szCs w:val="28"/>
                <w:lang w:val="en-US"/>
              </w:rPr>
            </w:pPr>
            <w:r>
              <w:rPr>
                <w:iCs/>
                <w:color w:val="auto"/>
                <w:szCs w:val="28"/>
                <w:lang w:val="en-US"/>
              </w:rPr>
              <w:t xml:space="preserve">Parent Workshops </w:t>
            </w:r>
          </w:p>
          <w:p w14:paraId="18CCF37B" w14:textId="4A05A308" w:rsidR="001E758D" w:rsidRPr="00E27862" w:rsidRDefault="001E758D" w:rsidP="001E758D">
            <w:pPr>
              <w:pStyle w:val="TableRow"/>
              <w:spacing w:after="120"/>
              <w:ind w:left="29"/>
              <w:rPr>
                <w:iCs/>
                <w:color w:val="auto"/>
                <w:szCs w:val="28"/>
                <w:lang w:val="en-US"/>
              </w:rPr>
            </w:pPr>
            <w:r>
              <w:rPr>
                <w:iCs/>
                <w:color w:val="auto"/>
                <w:szCs w:val="28"/>
                <w:lang w:val="en-US"/>
              </w:rPr>
              <w:t xml:space="preserve">Reintroduce regular opportunities for parents to </w:t>
            </w:r>
            <w:r w:rsidR="00D85CC5">
              <w:rPr>
                <w:iCs/>
                <w:color w:val="auto"/>
                <w:szCs w:val="28"/>
                <w:lang w:val="en-US"/>
              </w:rPr>
              <w:t xml:space="preserve">develop their understanding of how and what their children will be learning so that they </w:t>
            </w:r>
            <w:r w:rsidR="00D85CC5">
              <w:rPr>
                <w:iCs/>
                <w:color w:val="auto"/>
                <w:szCs w:val="28"/>
                <w:lang w:val="en-US"/>
              </w:rPr>
              <w:lastRenderedPageBreak/>
              <w:t xml:space="preserve">can support </w:t>
            </w:r>
            <w:r w:rsidR="00624281">
              <w:rPr>
                <w:iCs/>
                <w:color w:val="auto"/>
                <w:szCs w:val="28"/>
                <w:lang w:val="en-US"/>
              </w:rPr>
              <w:t xml:space="preserve">effectively at home. 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B5553" w14:textId="47F2F8DD" w:rsidR="00747A19" w:rsidRPr="000205A9" w:rsidRDefault="000205A9" w:rsidP="001E758D">
            <w:pPr>
              <w:pStyle w:val="TableRowCentered"/>
              <w:ind w:left="32"/>
              <w:jc w:val="left"/>
              <w:rPr>
                <w:rFonts w:cs="Arial"/>
                <w:szCs w:val="24"/>
              </w:rPr>
            </w:pPr>
            <w:r w:rsidRPr="000205A9">
              <w:rPr>
                <w:rFonts w:cs="Arial"/>
                <w:color w:val="263238"/>
                <w:szCs w:val="24"/>
                <w:shd w:val="clear" w:color="auto" w:fill="FFFFFF"/>
              </w:rPr>
              <w:lastRenderedPageBreak/>
              <w:t>The average impact of the Parental engagement approaches is about an additional four months’ progress over the course of a year.</w:t>
            </w:r>
          </w:p>
          <w:p w14:paraId="0275ACB0" w14:textId="77777777" w:rsidR="00747A19" w:rsidRDefault="00747A19" w:rsidP="001E758D">
            <w:pPr>
              <w:pStyle w:val="TableRowCentered"/>
              <w:ind w:left="32"/>
              <w:jc w:val="left"/>
            </w:pPr>
          </w:p>
          <w:p w14:paraId="78671FF5" w14:textId="0C751364" w:rsidR="001E758D" w:rsidRDefault="002A0DBC" w:rsidP="001E758D">
            <w:pPr>
              <w:pStyle w:val="TableRowCentered"/>
              <w:ind w:left="32"/>
              <w:jc w:val="left"/>
              <w:rPr>
                <w:color w:val="auto"/>
                <w:szCs w:val="22"/>
              </w:rPr>
            </w:pPr>
            <w:hyperlink r:id="rId29" w:history="1">
              <w:r w:rsidR="001E758D" w:rsidRPr="00A738E5">
                <w:rPr>
                  <w:rStyle w:val="Hyperlink"/>
                  <w:szCs w:val="22"/>
                </w:rPr>
                <w:t>Parental Engagement</w:t>
              </w:r>
            </w:hyperlink>
            <w:r w:rsidR="001E758D">
              <w:rPr>
                <w:color w:val="auto"/>
                <w:szCs w:val="22"/>
              </w:rPr>
              <w:t xml:space="preserve"> EEF</w:t>
            </w:r>
          </w:p>
          <w:p w14:paraId="25404202" w14:textId="77777777" w:rsidR="0026507A" w:rsidRDefault="0026507A" w:rsidP="001E758D">
            <w:pPr>
              <w:pStyle w:val="TableRowCentered"/>
              <w:ind w:left="32"/>
              <w:jc w:val="left"/>
              <w:rPr>
                <w:color w:val="auto"/>
                <w:szCs w:val="22"/>
              </w:rPr>
            </w:pPr>
          </w:p>
          <w:p w14:paraId="09A57D65" w14:textId="2328EB35" w:rsidR="0026507A" w:rsidRPr="00E27862" w:rsidRDefault="0026507A" w:rsidP="001E758D">
            <w:pPr>
              <w:pStyle w:val="TableRowCentered"/>
              <w:ind w:left="32"/>
              <w:jc w:val="left"/>
              <w:rPr>
                <w:color w:val="auto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838A6" w14:textId="7F264C6F" w:rsidR="001E758D" w:rsidRDefault="00767D41" w:rsidP="001E758D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1,2,3,4,5,6,7</w:t>
            </w:r>
          </w:p>
        </w:tc>
      </w:tr>
      <w:tr w:rsidR="003F20A4" w14:paraId="778F3D11" w14:textId="77777777" w:rsidTr="007A42DE"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554A3" w14:textId="0126A5BB" w:rsidR="003F20A4" w:rsidRPr="00211B90" w:rsidRDefault="003F20A4" w:rsidP="001E758D">
            <w:pPr>
              <w:pStyle w:val="TableRow"/>
              <w:spacing w:after="120"/>
              <w:ind w:left="29"/>
              <w:rPr>
                <w:iCs/>
                <w:color w:val="auto"/>
                <w:lang w:val="en-US"/>
              </w:rPr>
            </w:pPr>
            <w:r w:rsidRPr="00211B90">
              <w:rPr>
                <w:iCs/>
                <w:color w:val="auto"/>
                <w:lang w:val="en-US"/>
              </w:rPr>
              <w:t>Subsi</w:t>
            </w:r>
            <w:r w:rsidR="00792DB9" w:rsidRPr="00211B90">
              <w:rPr>
                <w:iCs/>
                <w:color w:val="auto"/>
                <w:lang w:val="en-US"/>
              </w:rPr>
              <w:t>d</w:t>
            </w:r>
            <w:r w:rsidR="00E63466" w:rsidRPr="00211B90">
              <w:rPr>
                <w:iCs/>
                <w:color w:val="auto"/>
                <w:lang w:val="en-US"/>
              </w:rPr>
              <w:t>y of</w:t>
            </w:r>
            <w:r w:rsidR="00792DB9" w:rsidRPr="00211B90">
              <w:rPr>
                <w:iCs/>
                <w:color w:val="auto"/>
                <w:lang w:val="en-US"/>
              </w:rPr>
              <w:t xml:space="preserve"> curriculum enhancement opportunit</w:t>
            </w:r>
            <w:r w:rsidR="00E63466" w:rsidRPr="00211B90">
              <w:rPr>
                <w:iCs/>
                <w:color w:val="auto"/>
                <w:lang w:val="en-US"/>
              </w:rPr>
              <w:t xml:space="preserve">ies both within and outside of school day. 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43762" w14:textId="77777777" w:rsidR="003F20A4" w:rsidRDefault="00770B0A" w:rsidP="001E758D">
            <w:pPr>
              <w:pStyle w:val="TableRowCentered"/>
              <w:ind w:left="32"/>
              <w:jc w:val="left"/>
              <w:rPr>
                <w:rFonts w:ascii="Roboto" w:hAnsi="Roboto"/>
                <w:color w:val="auto"/>
                <w:szCs w:val="24"/>
                <w:shd w:val="clear" w:color="auto" w:fill="FAFAFA"/>
              </w:rPr>
            </w:pPr>
            <w:r w:rsidRPr="00211B90">
              <w:rPr>
                <w:rFonts w:cs="Arial"/>
                <w:color w:val="auto"/>
                <w:szCs w:val="24"/>
                <w:shd w:val="clear" w:color="auto" w:fill="FFFFFF"/>
              </w:rPr>
              <w:t xml:space="preserve">Physical activity has important benefits in terms of health, </w:t>
            </w:r>
            <w:proofErr w:type="gramStart"/>
            <w:r w:rsidRPr="00211B90">
              <w:rPr>
                <w:rFonts w:cs="Arial"/>
                <w:color w:val="auto"/>
                <w:szCs w:val="24"/>
                <w:shd w:val="clear" w:color="auto" w:fill="FFFFFF"/>
              </w:rPr>
              <w:t>wellbeing</w:t>
            </w:r>
            <w:proofErr w:type="gramEnd"/>
            <w:r w:rsidRPr="00211B90">
              <w:rPr>
                <w:rFonts w:cs="Arial"/>
                <w:color w:val="auto"/>
                <w:szCs w:val="24"/>
                <w:shd w:val="clear" w:color="auto" w:fill="FFFFFF"/>
              </w:rPr>
              <w:t xml:space="preserve"> and physical development. </w:t>
            </w:r>
            <w:r w:rsidR="00211B90" w:rsidRPr="00211B90">
              <w:rPr>
                <w:rFonts w:cs="Arial"/>
                <w:color w:val="auto"/>
                <w:szCs w:val="24"/>
                <w:shd w:val="clear" w:color="auto" w:fill="FAFAFA"/>
              </w:rPr>
              <w:t>There is some evidence that involvement in extra-curricular sporting activities may increase pupil</w:t>
            </w:r>
            <w:r w:rsidR="00211B90" w:rsidRPr="00211B90">
              <w:rPr>
                <w:rFonts w:ascii="Roboto" w:hAnsi="Roboto"/>
                <w:color w:val="auto"/>
                <w:szCs w:val="24"/>
                <w:shd w:val="clear" w:color="auto" w:fill="FAFAFA"/>
              </w:rPr>
              <w:t xml:space="preserve"> attendance and retention.</w:t>
            </w:r>
          </w:p>
          <w:p w14:paraId="1C293573" w14:textId="7D04B519" w:rsidR="00F261BF" w:rsidRDefault="00A079BC" w:rsidP="001E758D">
            <w:pPr>
              <w:pStyle w:val="TableRowCentered"/>
              <w:ind w:left="32"/>
              <w:jc w:val="left"/>
              <w:rPr>
                <w:rFonts w:ascii="Roboto" w:hAnsi="Roboto" w:cs="Arial"/>
                <w:color w:val="auto"/>
                <w:szCs w:val="24"/>
                <w:shd w:val="clear" w:color="auto" w:fill="FAFAFA"/>
              </w:rPr>
            </w:pPr>
            <w:r>
              <w:rPr>
                <w:rFonts w:ascii="Roboto" w:hAnsi="Roboto" w:cs="Arial"/>
                <w:color w:val="auto"/>
                <w:szCs w:val="24"/>
                <w:shd w:val="clear" w:color="auto" w:fill="FAFAFA"/>
              </w:rPr>
              <w:t xml:space="preserve"> </w:t>
            </w:r>
          </w:p>
          <w:p w14:paraId="1AC317B8" w14:textId="78907CFE" w:rsidR="00A079BC" w:rsidRDefault="002A0DBC" w:rsidP="001E758D">
            <w:pPr>
              <w:pStyle w:val="TableRowCentered"/>
              <w:ind w:left="32"/>
              <w:jc w:val="left"/>
              <w:rPr>
                <w:rFonts w:ascii="Roboto" w:hAnsi="Roboto" w:cs="Arial"/>
                <w:color w:val="auto"/>
                <w:szCs w:val="24"/>
                <w:shd w:val="clear" w:color="auto" w:fill="FAFAFA"/>
              </w:rPr>
            </w:pPr>
            <w:hyperlink r:id="rId30" w:history="1">
              <w:r w:rsidR="00707AAA" w:rsidRPr="00707AAA">
                <w:rPr>
                  <w:rStyle w:val="Hyperlink"/>
                  <w:rFonts w:ascii="Roboto" w:hAnsi="Roboto" w:cs="Arial"/>
                  <w:szCs w:val="24"/>
                  <w:shd w:val="clear" w:color="auto" w:fill="FAFAFA"/>
                </w:rPr>
                <w:t>Physical Activity EEF</w:t>
              </w:r>
            </w:hyperlink>
          </w:p>
          <w:p w14:paraId="69CFC8A7" w14:textId="77777777" w:rsidR="00707AAA" w:rsidRDefault="00707AAA" w:rsidP="001E758D">
            <w:pPr>
              <w:pStyle w:val="TableRowCentered"/>
              <w:ind w:left="32"/>
              <w:jc w:val="left"/>
              <w:rPr>
                <w:rFonts w:ascii="Roboto" w:hAnsi="Roboto" w:cs="Arial"/>
                <w:color w:val="auto"/>
                <w:szCs w:val="24"/>
                <w:shd w:val="clear" w:color="auto" w:fill="FAFAFA"/>
              </w:rPr>
            </w:pPr>
          </w:p>
          <w:p w14:paraId="4BC33FD1" w14:textId="6A3A9119" w:rsidR="00707AAA" w:rsidRDefault="009E549F" w:rsidP="001E758D">
            <w:pPr>
              <w:pStyle w:val="TableRowCentered"/>
              <w:ind w:left="32"/>
              <w:jc w:val="left"/>
              <w:rPr>
                <w:rFonts w:cs="Arial"/>
                <w:color w:val="auto"/>
                <w:szCs w:val="24"/>
                <w:shd w:val="clear" w:color="auto" w:fill="FAFAFA"/>
              </w:rPr>
            </w:pPr>
            <w:r w:rsidRPr="009E549F">
              <w:rPr>
                <w:rFonts w:cs="Arial"/>
                <w:color w:val="auto"/>
                <w:szCs w:val="24"/>
                <w:shd w:val="clear" w:color="auto" w:fill="FAFAFA"/>
              </w:rPr>
              <w:t>Arts participation approaches can have a positive impact on academic outcomes in other areas of the curriculum</w:t>
            </w:r>
          </w:p>
          <w:p w14:paraId="3E5C978A" w14:textId="77777777" w:rsidR="009E549F" w:rsidRDefault="009E549F" w:rsidP="001E758D">
            <w:pPr>
              <w:pStyle w:val="TableRowCentered"/>
              <w:ind w:left="32"/>
              <w:jc w:val="left"/>
              <w:rPr>
                <w:rFonts w:cs="Arial"/>
                <w:color w:val="auto"/>
                <w:szCs w:val="24"/>
                <w:shd w:val="clear" w:color="auto" w:fill="FAFAFA"/>
              </w:rPr>
            </w:pPr>
          </w:p>
          <w:p w14:paraId="6BD6F948" w14:textId="7CAE85E7" w:rsidR="009E549F" w:rsidRDefault="002A0DBC" w:rsidP="001E758D">
            <w:pPr>
              <w:pStyle w:val="TableRowCentered"/>
              <w:ind w:left="32"/>
              <w:jc w:val="left"/>
              <w:rPr>
                <w:rStyle w:val="Hyperlink"/>
                <w:rFonts w:cs="Arial"/>
                <w:szCs w:val="24"/>
                <w:shd w:val="clear" w:color="auto" w:fill="FAFAFA"/>
              </w:rPr>
            </w:pPr>
            <w:hyperlink r:id="rId31" w:history="1">
              <w:r w:rsidR="009E549F" w:rsidRPr="008A394C">
                <w:rPr>
                  <w:rStyle w:val="Hyperlink"/>
                  <w:rFonts w:cs="Arial"/>
                  <w:szCs w:val="24"/>
                  <w:shd w:val="clear" w:color="auto" w:fill="FAFAFA"/>
                </w:rPr>
                <w:t>Arts Participation EEF</w:t>
              </w:r>
            </w:hyperlink>
          </w:p>
          <w:p w14:paraId="08C1FD7E" w14:textId="77777777" w:rsidR="00D42F2D" w:rsidRDefault="00D42F2D" w:rsidP="001E758D">
            <w:pPr>
              <w:pStyle w:val="TableRowCentered"/>
              <w:ind w:left="32"/>
              <w:jc w:val="left"/>
              <w:rPr>
                <w:rFonts w:cs="Arial"/>
                <w:color w:val="auto"/>
                <w:sz w:val="20"/>
                <w:shd w:val="clear" w:color="auto" w:fill="FAFAFA"/>
              </w:rPr>
            </w:pPr>
          </w:p>
          <w:p w14:paraId="0DCCCF07" w14:textId="3A1D96A6" w:rsidR="00F261BF" w:rsidRPr="00211B90" w:rsidRDefault="00F261BF" w:rsidP="007744F8">
            <w:pPr>
              <w:pStyle w:val="TableRowCentered"/>
              <w:ind w:left="32"/>
              <w:jc w:val="left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F02E8" w14:textId="270EE4B3" w:rsidR="003F20A4" w:rsidRDefault="000D7693" w:rsidP="001E758D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1,2,3,4,5,6,7</w:t>
            </w:r>
          </w:p>
        </w:tc>
      </w:tr>
      <w:tr w:rsidR="0011675F" w14:paraId="05D3E997" w14:textId="77777777" w:rsidTr="007A42DE"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2BD91" w14:textId="75289280" w:rsidR="0011675F" w:rsidRPr="00E27862" w:rsidRDefault="0011675F" w:rsidP="0011675F">
            <w:pPr>
              <w:suppressAutoHyphens w:val="0"/>
              <w:autoSpaceDN/>
              <w:spacing w:before="60" w:after="60" w:line="240" w:lineRule="auto"/>
              <w:ind w:left="29" w:right="57"/>
              <w:rPr>
                <w:iCs/>
                <w:color w:val="auto"/>
                <w:szCs w:val="28"/>
                <w:lang w:val="en-US"/>
              </w:rPr>
            </w:pPr>
            <w:r>
              <w:rPr>
                <w:iCs/>
                <w:color w:val="auto"/>
                <w:szCs w:val="28"/>
                <w:lang w:val="en-US"/>
              </w:rPr>
              <w:t>Employ a Family Support Worker to strengthen relationships with harder to reach families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B084F" w14:textId="77777777" w:rsidR="0011675F" w:rsidRPr="000205A9" w:rsidRDefault="0011675F" w:rsidP="0011675F">
            <w:pPr>
              <w:pStyle w:val="TableRowCentered"/>
              <w:ind w:left="32"/>
              <w:jc w:val="left"/>
              <w:rPr>
                <w:rFonts w:cs="Arial"/>
                <w:szCs w:val="24"/>
              </w:rPr>
            </w:pPr>
            <w:r w:rsidRPr="000205A9">
              <w:rPr>
                <w:rFonts w:cs="Arial"/>
                <w:color w:val="263238"/>
                <w:szCs w:val="24"/>
                <w:shd w:val="clear" w:color="auto" w:fill="FFFFFF"/>
              </w:rPr>
              <w:t>The average impact of the Parental engagement approaches is about an additional four months’ progress over the course of a year.</w:t>
            </w:r>
          </w:p>
          <w:p w14:paraId="65DA9D08" w14:textId="77777777" w:rsidR="0011675F" w:rsidRDefault="0011675F" w:rsidP="0011675F">
            <w:pPr>
              <w:pStyle w:val="TableRowCentered"/>
              <w:ind w:left="32"/>
              <w:jc w:val="left"/>
            </w:pPr>
          </w:p>
          <w:p w14:paraId="0EC7300C" w14:textId="77777777" w:rsidR="0011675F" w:rsidRDefault="002A0DBC" w:rsidP="0011675F">
            <w:pPr>
              <w:pStyle w:val="TableRowCentered"/>
              <w:ind w:left="32"/>
              <w:jc w:val="left"/>
              <w:rPr>
                <w:color w:val="auto"/>
                <w:szCs w:val="22"/>
              </w:rPr>
            </w:pPr>
            <w:hyperlink r:id="rId32" w:history="1">
              <w:r w:rsidR="0011675F" w:rsidRPr="00A738E5">
                <w:rPr>
                  <w:rStyle w:val="Hyperlink"/>
                  <w:szCs w:val="22"/>
                </w:rPr>
                <w:t>Parental Engagement</w:t>
              </w:r>
            </w:hyperlink>
            <w:r w:rsidR="0011675F">
              <w:rPr>
                <w:color w:val="auto"/>
                <w:szCs w:val="22"/>
              </w:rPr>
              <w:t xml:space="preserve"> EEF</w:t>
            </w:r>
          </w:p>
          <w:p w14:paraId="4326E5CF" w14:textId="77777777" w:rsidR="00D42F2D" w:rsidRDefault="00D42F2D" w:rsidP="0011675F">
            <w:pPr>
              <w:pStyle w:val="TableRowCentered"/>
              <w:ind w:left="32"/>
              <w:jc w:val="left"/>
              <w:rPr>
                <w:color w:val="auto"/>
                <w:szCs w:val="22"/>
              </w:rPr>
            </w:pPr>
          </w:p>
          <w:p w14:paraId="0A8B04AB" w14:textId="77777777" w:rsidR="0011675F" w:rsidRDefault="0011675F" w:rsidP="0011675F">
            <w:pPr>
              <w:pStyle w:val="TableRowCentered"/>
              <w:ind w:left="32"/>
              <w:jc w:val="left"/>
              <w:rPr>
                <w:color w:val="auto"/>
                <w:szCs w:val="22"/>
              </w:rPr>
            </w:pPr>
          </w:p>
          <w:p w14:paraId="04DF119C" w14:textId="77777777" w:rsidR="0011675F" w:rsidRPr="00E27862" w:rsidRDefault="0011675F" w:rsidP="0011675F">
            <w:pPr>
              <w:pStyle w:val="TableRowCentered"/>
              <w:ind w:left="32"/>
              <w:jc w:val="left"/>
              <w:rPr>
                <w:color w:val="auto"/>
                <w:szCs w:val="22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34E68" w14:textId="7FD3B592" w:rsidR="0011675F" w:rsidRDefault="0011675F" w:rsidP="0011675F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1,2,3,4,5,6,7</w:t>
            </w:r>
          </w:p>
        </w:tc>
      </w:tr>
      <w:tr w:rsidR="0011675F" w14:paraId="76D40977" w14:textId="77777777" w:rsidTr="007A42DE"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8417C" w14:textId="47DC957A" w:rsidR="0011675F" w:rsidRPr="00E27862" w:rsidRDefault="0011675F" w:rsidP="0011675F">
            <w:pPr>
              <w:suppressAutoHyphens w:val="0"/>
              <w:autoSpaceDN/>
              <w:spacing w:before="60" w:after="60" w:line="240" w:lineRule="auto"/>
              <w:ind w:left="29" w:right="57"/>
              <w:rPr>
                <w:iCs/>
                <w:color w:val="auto"/>
                <w:szCs w:val="28"/>
                <w:lang w:val="en-US"/>
              </w:rPr>
            </w:pPr>
            <w:r>
              <w:rPr>
                <w:color w:val="auto"/>
              </w:rPr>
              <w:t>Celebration and Recognition reward events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F49AD" w14:textId="77777777" w:rsidR="0011675F" w:rsidRDefault="0011675F" w:rsidP="0011675F">
            <w:pPr>
              <w:suppressAutoHyphens w:val="0"/>
              <w:autoSpaceDN/>
              <w:spacing w:before="60" w:after="120" w:line="240" w:lineRule="auto"/>
              <w:ind w:left="57" w:right="57"/>
              <w:rPr>
                <w:color w:val="auto"/>
              </w:rPr>
            </w:pPr>
            <w:r>
              <w:rPr>
                <w:color w:val="auto"/>
              </w:rPr>
              <w:t xml:space="preserve">Recognising achievement </w:t>
            </w:r>
            <w:r w:rsidRPr="004A063C">
              <w:rPr>
                <w:color w:val="auto"/>
              </w:rPr>
              <w:t>increase</w:t>
            </w:r>
            <w:r>
              <w:rPr>
                <w:color w:val="auto"/>
              </w:rPr>
              <w:t>s</w:t>
            </w:r>
            <w:r w:rsidRPr="004A063C">
              <w:rPr>
                <w:color w:val="auto"/>
              </w:rPr>
              <w:t xml:space="preserve"> self-esteem, improve</w:t>
            </w:r>
            <w:r>
              <w:rPr>
                <w:color w:val="auto"/>
              </w:rPr>
              <w:t>s</w:t>
            </w:r>
            <w:r w:rsidRPr="004A063C">
              <w:rPr>
                <w:color w:val="auto"/>
              </w:rPr>
              <w:t xml:space="preserve"> </w:t>
            </w:r>
            <w:proofErr w:type="gramStart"/>
            <w:r w:rsidRPr="004A063C">
              <w:rPr>
                <w:color w:val="auto"/>
              </w:rPr>
              <w:t>motivation</w:t>
            </w:r>
            <w:proofErr w:type="gramEnd"/>
            <w:r w:rsidRPr="004A063C">
              <w:rPr>
                <w:color w:val="auto"/>
              </w:rPr>
              <w:t xml:space="preserve"> and keep</w:t>
            </w:r>
            <w:r>
              <w:rPr>
                <w:color w:val="auto"/>
              </w:rPr>
              <w:t>s</w:t>
            </w:r>
            <w:r w:rsidRPr="004A063C">
              <w:rPr>
                <w:color w:val="auto"/>
              </w:rPr>
              <w:t xml:space="preserve"> </w:t>
            </w:r>
            <w:r>
              <w:rPr>
                <w:color w:val="auto"/>
              </w:rPr>
              <w:t>students</w:t>
            </w:r>
            <w:r w:rsidRPr="004A063C">
              <w:rPr>
                <w:color w:val="auto"/>
              </w:rPr>
              <w:t xml:space="preserve"> engaged in learning</w:t>
            </w:r>
            <w:r>
              <w:rPr>
                <w:color w:val="auto"/>
              </w:rPr>
              <w:t>.</w:t>
            </w:r>
          </w:p>
          <w:p w14:paraId="069A6252" w14:textId="77777777" w:rsidR="0011675F" w:rsidRDefault="002A0DBC" w:rsidP="0011675F">
            <w:pPr>
              <w:suppressAutoHyphens w:val="0"/>
              <w:autoSpaceDN/>
              <w:spacing w:before="60" w:after="120" w:line="240" w:lineRule="auto"/>
              <w:ind w:left="57" w:right="57"/>
              <w:rPr>
                <w:color w:val="auto"/>
              </w:rPr>
            </w:pPr>
            <w:hyperlink r:id="rId33" w:history="1">
              <w:r w:rsidR="0011675F" w:rsidRPr="0027359A">
                <w:rPr>
                  <w:rStyle w:val="Hyperlink"/>
                </w:rPr>
                <w:t>BtC5 Recognising Achievement, Profiling and Reporting</w:t>
              </w:r>
            </w:hyperlink>
          </w:p>
          <w:p w14:paraId="0029A0A9" w14:textId="77777777" w:rsidR="0011675F" w:rsidRDefault="0011675F" w:rsidP="0011675F">
            <w:pPr>
              <w:pStyle w:val="TableRowCentered"/>
              <w:ind w:left="32"/>
              <w:jc w:val="left"/>
              <w:rPr>
                <w:color w:val="auto"/>
                <w:szCs w:val="22"/>
              </w:rPr>
            </w:pPr>
          </w:p>
          <w:p w14:paraId="44D4F5B5" w14:textId="3F6F99BE" w:rsidR="00D42F2D" w:rsidRPr="00E27862" w:rsidRDefault="00D42F2D" w:rsidP="0011675F">
            <w:pPr>
              <w:pStyle w:val="TableRowCentered"/>
              <w:ind w:left="32"/>
              <w:jc w:val="left"/>
              <w:rPr>
                <w:color w:val="auto"/>
                <w:szCs w:val="22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2FB6B" w14:textId="6BBA89A0" w:rsidR="0011675F" w:rsidRDefault="0011675F" w:rsidP="0011675F">
            <w:pPr>
              <w:pStyle w:val="TableRowCentered"/>
              <w:jc w:val="left"/>
              <w:rPr>
                <w:sz w:val="22"/>
              </w:rPr>
            </w:pPr>
            <w:r>
              <w:rPr>
                <w:color w:val="auto"/>
                <w:szCs w:val="24"/>
              </w:rPr>
              <w:t>1,2,3,4,5</w:t>
            </w:r>
          </w:p>
        </w:tc>
      </w:tr>
      <w:tr w:rsidR="0011675F" w14:paraId="6CC5672C" w14:textId="77777777" w:rsidTr="007A42DE"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3E9EF" w14:textId="77777777" w:rsidR="0011675F" w:rsidRPr="00E27862" w:rsidRDefault="0011675F" w:rsidP="0011675F">
            <w:pPr>
              <w:suppressAutoHyphens w:val="0"/>
              <w:autoSpaceDN/>
              <w:spacing w:before="60" w:after="60" w:line="240" w:lineRule="auto"/>
              <w:ind w:left="29" w:right="57"/>
              <w:rPr>
                <w:iCs/>
                <w:color w:val="auto"/>
                <w:szCs w:val="28"/>
                <w:lang w:val="en-US"/>
              </w:rPr>
            </w:pPr>
            <w:r w:rsidRPr="00E27862">
              <w:rPr>
                <w:iCs/>
                <w:color w:val="auto"/>
                <w:szCs w:val="28"/>
                <w:lang w:val="en-US"/>
              </w:rPr>
              <w:t>Contingency fund for acute issues.</w:t>
            </w:r>
          </w:p>
          <w:p w14:paraId="198DBF7C" w14:textId="77777777" w:rsidR="0011675F" w:rsidRPr="00E27862" w:rsidRDefault="0011675F" w:rsidP="0011675F">
            <w:pPr>
              <w:pStyle w:val="TableRow"/>
              <w:spacing w:after="120"/>
              <w:ind w:left="29"/>
              <w:rPr>
                <w:iCs/>
                <w:color w:val="auto"/>
                <w:szCs w:val="28"/>
                <w:lang w:val="en-US"/>
              </w:rPr>
            </w:pP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B0150" w14:textId="77777777" w:rsidR="0011675F" w:rsidRDefault="0011675F" w:rsidP="0011675F">
            <w:pPr>
              <w:pStyle w:val="TableRowCentered"/>
              <w:ind w:left="32"/>
              <w:jc w:val="left"/>
              <w:rPr>
                <w:color w:val="auto"/>
                <w:szCs w:val="22"/>
              </w:rPr>
            </w:pPr>
            <w:r w:rsidRPr="00E27862">
              <w:rPr>
                <w:color w:val="auto"/>
                <w:szCs w:val="22"/>
              </w:rPr>
              <w:t>Based on our experiences and those of similar schools to ours, we have identified a need to set a small amount of funding aside to respond quickly to needs that have not yet been identified.</w:t>
            </w:r>
          </w:p>
          <w:p w14:paraId="32C33E18" w14:textId="77777777" w:rsidR="0011675F" w:rsidRDefault="0011675F" w:rsidP="0011675F">
            <w:pPr>
              <w:pStyle w:val="TableRowCentered"/>
              <w:ind w:left="32"/>
              <w:jc w:val="left"/>
              <w:rPr>
                <w:color w:val="auto"/>
                <w:szCs w:val="22"/>
              </w:rPr>
            </w:pPr>
          </w:p>
          <w:p w14:paraId="6DF7A766" w14:textId="79C1F1DA" w:rsidR="0011675F" w:rsidRPr="00E27862" w:rsidRDefault="0011675F" w:rsidP="007744F8">
            <w:pPr>
              <w:pStyle w:val="TableRowCentered"/>
              <w:ind w:left="32"/>
              <w:jc w:val="left"/>
              <w:rPr>
                <w:color w:val="auto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DEC77" w14:textId="5C757215" w:rsidR="0011675F" w:rsidRDefault="0011675F" w:rsidP="0011675F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All</w:t>
            </w:r>
          </w:p>
        </w:tc>
      </w:tr>
    </w:tbl>
    <w:p w14:paraId="2A7D5540" w14:textId="77777777" w:rsidR="00E66558" w:rsidRDefault="00E66558">
      <w:pPr>
        <w:spacing w:before="240" w:after="0"/>
        <w:rPr>
          <w:b/>
          <w:bCs/>
          <w:color w:val="104F75"/>
          <w:sz w:val="28"/>
          <w:szCs w:val="28"/>
        </w:rPr>
      </w:pPr>
    </w:p>
    <w:p w14:paraId="2A7D5541" w14:textId="13D2FB47" w:rsidR="00E66558" w:rsidRDefault="009D71E8" w:rsidP="00120AB1">
      <w:r>
        <w:rPr>
          <w:b/>
          <w:bCs/>
          <w:color w:val="104F75"/>
          <w:sz w:val="28"/>
          <w:szCs w:val="28"/>
        </w:rPr>
        <w:t xml:space="preserve">Total budgeted cost: £ </w:t>
      </w:r>
      <w:r w:rsidR="00D515F4">
        <w:rPr>
          <w:b/>
          <w:bCs/>
          <w:color w:val="104F75"/>
          <w:sz w:val="28"/>
          <w:szCs w:val="28"/>
        </w:rPr>
        <w:t>702, 508</w:t>
      </w:r>
    </w:p>
    <w:p w14:paraId="2A7D5542" w14:textId="77777777" w:rsidR="00E66558" w:rsidRDefault="009D71E8">
      <w:pPr>
        <w:pStyle w:val="Heading1"/>
      </w:pPr>
      <w:r>
        <w:lastRenderedPageBreak/>
        <w:t>Part B: Review of outcomes in the previous academic year</w:t>
      </w:r>
    </w:p>
    <w:p w14:paraId="2A7D5543" w14:textId="77777777" w:rsidR="00E66558" w:rsidRDefault="009D71E8">
      <w:pPr>
        <w:pStyle w:val="Heading2"/>
      </w:pPr>
      <w:r>
        <w:t>Pupil premium strategy outcomes</w:t>
      </w:r>
    </w:p>
    <w:p w14:paraId="2A7D5544" w14:textId="577B1328" w:rsidR="00E66558" w:rsidRDefault="009D71E8">
      <w:r>
        <w:t>This details the impact that our pupil premium activity had on pupils in the 202</w:t>
      </w:r>
      <w:r w:rsidR="00EA1C20">
        <w:t>1</w:t>
      </w:r>
      <w:r>
        <w:t xml:space="preserve"> to 202</w:t>
      </w:r>
      <w:r w:rsidR="00EA1C20">
        <w:t>2</w:t>
      </w:r>
      <w:r>
        <w:t xml:space="preserve"> academic year. </w:t>
      </w: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6"/>
      </w:tblGrid>
      <w:tr w:rsidR="00E66558" w14:paraId="2A7D5547" w14:textId="77777777" w:rsidTr="1EB4D28B">
        <w:trPr>
          <w:trHeight w:val="1102"/>
        </w:trPr>
        <w:tc>
          <w:tcPr>
            <w:tcW w:w="9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3DF1A" w14:textId="1B5191CF" w:rsidR="004518E7" w:rsidRPr="004518E7" w:rsidRDefault="004518E7" w:rsidP="00D1001B">
            <w:pPr>
              <w:spacing w:after="0"/>
              <w:rPr>
                <w:b/>
                <w:bCs/>
                <w:iCs/>
                <w:color w:val="auto"/>
                <w:u w:val="single"/>
              </w:rPr>
            </w:pPr>
            <w:r w:rsidRPr="004518E7">
              <w:rPr>
                <w:b/>
                <w:bCs/>
                <w:iCs/>
                <w:color w:val="auto"/>
                <w:u w:val="single"/>
              </w:rPr>
              <w:t>Primary</w:t>
            </w:r>
          </w:p>
          <w:p w14:paraId="3798B041" w14:textId="77777777" w:rsidR="00103CC2" w:rsidRDefault="00103CC2" w:rsidP="00D1001B">
            <w:pPr>
              <w:spacing w:after="0"/>
              <w:rPr>
                <w:iCs/>
              </w:rPr>
            </w:pPr>
          </w:p>
          <w:p w14:paraId="4B59F41B" w14:textId="646D7CDA" w:rsidR="00715B7C" w:rsidRDefault="00715B7C" w:rsidP="00D1001B">
            <w:pPr>
              <w:spacing w:after="0"/>
              <w:rPr>
                <w:b/>
                <w:bCs/>
                <w:iCs/>
              </w:rPr>
            </w:pPr>
            <w:r w:rsidRPr="00393444">
              <w:rPr>
                <w:b/>
                <w:bCs/>
                <w:iCs/>
              </w:rPr>
              <w:t>KS2 SAT</w:t>
            </w:r>
            <w:r w:rsidR="005F3586">
              <w:rPr>
                <w:b/>
                <w:bCs/>
                <w:iCs/>
              </w:rPr>
              <w:t>s</w:t>
            </w:r>
          </w:p>
          <w:p w14:paraId="710B3E97" w14:textId="28B36DDC" w:rsidR="005F3586" w:rsidRPr="00393444" w:rsidRDefault="005F3586" w:rsidP="00D1001B">
            <w:pPr>
              <w:spacing w:after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(27 children</w:t>
            </w:r>
            <w:r w:rsidR="00510318">
              <w:rPr>
                <w:b/>
                <w:bCs/>
                <w:iCs/>
              </w:rPr>
              <w:t>, 7 of whom have SEND)</w:t>
            </w:r>
          </w:p>
          <w:p w14:paraId="19A2314D" w14:textId="77777777" w:rsidR="00680ED3" w:rsidRDefault="00680ED3" w:rsidP="00D1001B">
            <w:pPr>
              <w:spacing w:after="0"/>
              <w:rPr>
                <w:iCs/>
              </w:rPr>
            </w:pPr>
          </w:p>
          <w:p w14:paraId="7D3FC440" w14:textId="6AF45FDF" w:rsidR="00680ED3" w:rsidRDefault="00680ED3" w:rsidP="00D1001B">
            <w:pPr>
              <w:spacing w:after="0"/>
              <w:rPr>
                <w:iCs/>
              </w:rPr>
            </w:pPr>
            <w:r>
              <w:rPr>
                <w:iCs/>
              </w:rPr>
              <w:t>(NA for this group)</w:t>
            </w:r>
          </w:p>
          <w:p w14:paraId="60969408" w14:textId="77777777" w:rsidR="00715B7C" w:rsidRDefault="00715B7C" w:rsidP="00D1001B">
            <w:pPr>
              <w:spacing w:after="0"/>
              <w:rPr>
                <w:iCs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18"/>
              <w:gridCol w:w="1418"/>
              <w:gridCol w:w="1275"/>
              <w:gridCol w:w="1560"/>
              <w:gridCol w:w="1701"/>
              <w:gridCol w:w="1595"/>
            </w:tblGrid>
            <w:tr w:rsidR="004922D2" w14:paraId="5C4BA9A8" w14:textId="77777777" w:rsidTr="353EB0FF">
              <w:trPr>
                <w:trHeight w:val="300"/>
              </w:trPr>
              <w:tc>
                <w:tcPr>
                  <w:tcW w:w="1718" w:type="dxa"/>
                </w:tcPr>
                <w:p w14:paraId="76D642CC" w14:textId="7B2A0CE7" w:rsidR="004922D2" w:rsidRPr="00680ED3" w:rsidRDefault="004922D2" w:rsidP="00D1001B">
                  <w:pPr>
                    <w:spacing w:after="0"/>
                    <w:rPr>
                      <w:iCs/>
                      <w:sz w:val="22"/>
                      <w:szCs w:val="22"/>
                    </w:rPr>
                  </w:pPr>
                  <w:r w:rsidRPr="00680ED3">
                    <w:rPr>
                      <w:iCs/>
                      <w:sz w:val="22"/>
                      <w:szCs w:val="22"/>
                    </w:rPr>
                    <w:t>Group</w:t>
                  </w:r>
                </w:p>
              </w:tc>
              <w:tc>
                <w:tcPr>
                  <w:tcW w:w="1418" w:type="dxa"/>
                </w:tcPr>
                <w:p w14:paraId="14CD9070" w14:textId="1D37F598" w:rsidR="004922D2" w:rsidRPr="00680ED3" w:rsidRDefault="004922D2" w:rsidP="00D1001B">
                  <w:pPr>
                    <w:spacing w:after="0"/>
                    <w:rPr>
                      <w:iCs/>
                      <w:sz w:val="22"/>
                      <w:szCs w:val="22"/>
                    </w:rPr>
                  </w:pPr>
                  <w:r w:rsidRPr="00680ED3">
                    <w:rPr>
                      <w:iCs/>
                      <w:sz w:val="22"/>
                      <w:szCs w:val="22"/>
                    </w:rPr>
                    <w:t xml:space="preserve">RWM </w:t>
                  </w:r>
                </w:p>
              </w:tc>
              <w:tc>
                <w:tcPr>
                  <w:tcW w:w="1275" w:type="dxa"/>
                </w:tcPr>
                <w:p w14:paraId="5A53454A" w14:textId="5F9F92B8" w:rsidR="004922D2" w:rsidRPr="00680ED3" w:rsidRDefault="004922D2" w:rsidP="00D1001B">
                  <w:pPr>
                    <w:spacing w:after="0"/>
                    <w:rPr>
                      <w:iCs/>
                      <w:sz w:val="22"/>
                      <w:szCs w:val="22"/>
                    </w:rPr>
                  </w:pPr>
                  <w:r w:rsidRPr="00680ED3">
                    <w:rPr>
                      <w:iCs/>
                      <w:sz w:val="22"/>
                      <w:szCs w:val="22"/>
                    </w:rPr>
                    <w:t>RM</w:t>
                  </w:r>
                </w:p>
              </w:tc>
              <w:tc>
                <w:tcPr>
                  <w:tcW w:w="1560" w:type="dxa"/>
                </w:tcPr>
                <w:p w14:paraId="2D2AC3C6" w14:textId="0563A23A" w:rsidR="004922D2" w:rsidRPr="00680ED3" w:rsidRDefault="004922D2" w:rsidP="00D1001B">
                  <w:pPr>
                    <w:spacing w:after="0"/>
                    <w:rPr>
                      <w:iCs/>
                      <w:sz w:val="22"/>
                      <w:szCs w:val="22"/>
                    </w:rPr>
                  </w:pPr>
                  <w:r w:rsidRPr="00680ED3">
                    <w:rPr>
                      <w:iCs/>
                      <w:sz w:val="22"/>
                      <w:szCs w:val="22"/>
                    </w:rPr>
                    <w:t>Reading</w:t>
                  </w:r>
                </w:p>
              </w:tc>
              <w:tc>
                <w:tcPr>
                  <w:tcW w:w="1701" w:type="dxa"/>
                </w:tcPr>
                <w:p w14:paraId="5CA5476A" w14:textId="68FF45E0" w:rsidR="004922D2" w:rsidRPr="00680ED3" w:rsidRDefault="004922D2" w:rsidP="00D1001B">
                  <w:pPr>
                    <w:spacing w:after="0"/>
                    <w:rPr>
                      <w:iCs/>
                      <w:sz w:val="22"/>
                      <w:szCs w:val="22"/>
                    </w:rPr>
                  </w:pPr>
                  <w:r w:rsidRPr="00680ED3">
                    <w:rPr>
                      <w:iCs/>
                      <w:sz w:val="22"/>
                      <w:szCs w:val="22"/>
                    </w:rPr>
                    <w:t>Writing</w:t>
                  </w:r>
                </w:p>
              </w:tc>
              <w:tc>
                <w:tcPr>
                  <w:tcW w:w="1595" w:type="dxa"/>
                </w:tcPr>
                <w:p w14:paraId="4BB18819" w14:textId="432385F6" w:rsidR="004922D2" w:rsidRPr="00680ED3" w:rsidRDefault="004922D2" w:rsidP="00D1001B">
                  <w:pPr>
                    <w:spacing w:after="0"/>
                    <w:rPr>
                      <w:iCs/>
                      <w:sz w:val="22"/>
                      <w:szCs w:val="22"/>
                    </w:rPr>
                  </w:pPr>
                  <w:r w:rsidRPr="00680ED3">
                    <w:rPr>
                      <w:iCs/>
                      <w:sz w:val="22"/>
                      <w:szCs w:val="22"/>
                    </w:rPr>
                    <w:t xml:space="preserve">Maths </w:t>
                  </w:r>
                </w:p>
              </w:tc>
            </w:tr>
            <w:tr w:rsidR="004922D2" w14:paraId="1268000B" w14:textId="77777777" w:rsidTr="353EB0FF">
              <w:trPr>
                <w:trHeight w:val="300"/>
              </w:trPr>
              <w:tc>
                <w:tcPr>
                  <w:tcW w:w="1718" w:type="dxa"/>
                </w:tcPr>
                <w:p w14:paraId="5DB88A71" w14:textId="060A6B58" w:rsidR="004922D2" w:rsidRPr="00680ED3" w:rsidRDefault="004922D2" w:rsidP="00D1001B">
                  <w:pPr>
                    <w:spacing w:after="0"/>
                    <w:rPr>
                      <w:iCs/>
                      <w:sz w:val="22"/>
                      <w:szCs w:val="22"/>
                    </w:rPr>
                  </w:pPr>
                  <w:r w:rsidRPr="00680ED3">
                    <w:rPr>
                      <w:iCs/>
                      <w:sz w:val="22"/>
                      <w:szCs w:val="22"/>
                    </w:rPr>
                    <w:t>All Others</w:t>
                  </w:r>
                </w:p>
              </w:tc>
              <w:tc>
                <w:tcPr>
                  <w:tcW w:w="1418" w:type="dxa"/>
                </w:tcPr>
                <w:p w14:paraId="0BA3E6EC" w14:textId="2C41E1F1" w:rsidR="004922D2" w:rsidRPr="00680ED3" w:rsidRDefault="004922D2" w:rsidP="00D1001B">
                  <w:pPr>
                    <w:spacing w:after="0"/>
                    <w:rPr>
                      <w:iCs/>
                      <w:sz w:val="22"/>
                      <w:szCs w:val="22"/>
                    </w:rPr>
                  </w:pPr>
                  <w:r w:rsidRPr="00680ED3">
                    <w:rPr>
                      <w:iCs/>
                      <w:sz w:val="22"/>
                      <w:szCs w:val="22"/>
                    </w:rPr>
                    <w:t>62.5%</w:t>
                  </w:r>
                  <w:r w:rsidR="00680ED3">
                    <w:rPr>
                      <w:i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75" w:type="dxa"/>
                </w:tcPr>
                <w:p w14:paraId="68806A34" w14:textId="54537A08" w:rsidR="004922D2" w:rsidRPr="00680ED3" w:rsidRDefault="006211A1" w:rsidP="00D1001B">
                  <w:pPr>
                    <w:spacing w:after="0"/>
                    <w:rPr>
                      <w:iCs/>
                      <w:sz w:val="22"/>
                      <w:szCs w:val="22"/>
                    </w:rPr>
                  </w:pPr>
                  <w:r w:rsidRPr="00680ED3">
                    <w:rPr>
                      <w:iCs/>
                      <w:sz w:val="22"/>
                      <w:szCs w:val="22"/>
                    </w:rPr>
                    <w:t>71.9%</w:t>
                  </w:r>
                </w:p>
              </w:tc>
              <w:tc>
                <w:tcPr>
                  <w:tcW w:w="1560" w:type="dxa"/>
                </w:tcPr>
                <w:p w14:paraId="29DEA55B" w14:textId="35FACA13" w:rsidR="004922D2" w:rsidRPr="00680ED3" w:rsidRDefault="006211A1" w:rsidP="00D1001B">
                  <w:pPr>
                    <w:spacing w:after="0"/>
                    <w:rPr>
                      <w:iCs/>
                      <w:sz w:val="22"/>
                      <w:szCs w:val="22"/>
                    </w:rPr>
                  </w:pPr>
                  <w:r w:rsidRPr="00680ED3">
                    <w:rPr>
                      <w:iCs/>
                      <w:sz w:val="22"/>
                      <w:szCs w:val="22"/>
                    </w:rPr>
                    <w:t>81.3</w:t>
                  </w:r>
                  <w:r w:rsidR="004922D2" w:rsidRPr="00680ED3">
                    <w:rPr>
                      <w:iCs/>
                      <w:sz w:val="22"/>
                      <w:szCs w:val="22"/>
                    </w:rPr>
                    <w:t>%</w:t>
                  </w:r>
                  <w:r w:rsidR="00B90BC2">
                    <w:rPr>
                      <w:iCs/>
                      <w:sz w:val="22"/>
                      <w:szCs w:val="22"/>
                    </w:rPr>
                    <w:t xml:space="preserve"> (80%)</w:t>
                  </w:r>
                </w:p>
              </w:tc>
              <w:tc>
                <w:tcPr>
                  <w:tcW w:w="1701" w:type="dxa"/>
                </w:tcPr>
                <w:p w14:paraId="5D7A61AF" w14:textId="753EE5A5" w:rsidR="004922D2" w:rsidRPr="00680ED3" w:rsidRDefault="00430403" w:rsidP="00D1001B">
                  <w:pPr>
                    <w:spacing w:after="0"/>
                    <w:rPr>
                      <w:iCs/>
                      <w:sz w:val="22"/>
                      <w:szCs w:val="22"/>
                    </w:rPr>
                  </w:pPr>
                  <w:r w:rsidRPr="00680ED3">
                    <w:rPr>
                      <w:iCs/>
                      <w:sz w:val="22"/>
                      <w:szCs w:val="22"/>
                    </w:rPr>
                    <w:t>71.9</w:t>
                  </w:r>
                  <w:r w:rsidR="004922D2" w:rsidRPr="00680ED3">
                    <w:rPr>
                      <w:iCs/>
                      <w:sz w:val="22"/>
                      <w:szCs w:val="22"/>
                    </w:rPr>
                    <w:t>%</w:t>
                  </w:r>
                  <w:r w:rsidR="00B90BC2">
                    <w:rPr>
                      <w:iCs/>
                      <w:sz w:val="22"/>
                      <w:szCs w:val="22"/>
                    </w:rPr>
                    <w:t xml:space="preserve"> (</w:t>
                  </w:r>
                  <w:r w:rsidR="00DB31DA">
                    <w:rPr>
                      <w:iCs/>
                      <w:sz w:val="22"/>
                      <w:szCs w:val="22"/>
                    </w:rPr>
                    <w:t>75%)</w:t>
                  </w:r>
                </w:p>
              </w:tc>
              <w:tc>
                <w:tcPr>
                  <w:tcW w:w="1595" w:type="dxa"/>
                </w:tcPr>
                <w:p w14:paraId="3B02574F" w14:textId="599089A8" w:rsidR="004922D2" w:rsidRPr="00680ED3" w:rsidRDefault="00061602" w:rsidP="00D1001B">
                  <w:pPr>
                    <w:spacing w:after="0"/>
                    <w:rPr>
                      <w:iCs/>
                      <w:sz w:val="22"/>
                      <w:szCs w:val="22"/>
                    </w:rPr>
                  </w:pPr>
                  <w:r w:rsidRPr="00680ED3">
                    <w:rPr>
                      <w:iCs/>
                      <w:sz w:val="22"/>
                      <w:szCs w:val="22"/>
                    </w:rPr>
                    <w:t>78.1</w:t>
                  </w:r>
                  <w:r w:rsidR="004922D2" w:rsidRPr="00680ED3">
                    <w:rPr>
                      <w:iCs/>
                      <w:sz w:val="22"/>
                      <w:szCs w:val="22"/>
                    </w:rPr>
                    <w:t>%</w:t>
                  </w:r>
                  <w:r w:rsidR="00DB31DA">
                    <w:rPr>
                      <w:iCs/>
                      <w:sz w:val="22"/>
                      <w:szCs w:val="22"/>
                    </w:rPr>
                    <w:t xml:space="preserve"> (78%)</w:t>
                  </w:r>
                </w:p>
              </w:tc>
            </w:tr>
            <w:tr w:rsidR="004922D2" w14:paraId="1F0A042C" w14:textId="77777777" w:rsidTr="353EB0FF">
              <w:trPr>
                <w:trHeight w:val="300"/>
              </w:trPr>
              <w:tc>
                <w:tcPr>
                  <w:tcW w:w="1718" w:type="dxa"/>
                </w:tcPr>
                <w:p w14:paraId="3AD67053" w14:textId="5F1D4E5F" w:rsidR="004922D2" w:rsidRPr="00680ED3" w:rsidRDefault="004922D2" w:rsidP="00D1001B">
                  <w:pPr>
                    <w:spacing w:after="0"/>
                    <w:rPr>
                      <w:iCs/>
                      <w:sz w:val="22"/>
                      <w:szCs w:val="22"/>
                    </w:rPr>
                  </w:pPr>
                  <w:r w:rsidRPr="00680ED3">
                    <w:rPr>
                      <w:iCs/>
                      <w:sz w:val="22"/>
                      <w:szCs w:val="22"/>
                    </w:rPr>
                    <w:t>Disadvantaged</w:t>
                  </w:r>
                </w:p>
              </w:tc>
              <w:tc>
                <w:tcPr>
                  <w:tcW w:w="1418" w:type="dxa"/>
                </w:tcPr>
                <w:p w14:paraId="4FA0012F" w14:textId="6361C30B" w:rsidR="004922D2" w:rsidRPr="00680ED3" w:rsidRDefault="004922D2" w:rsidP="00D1001B">
                  <w:pPr>
                    <w:spacing w:after="0"/>
                    <w:rPr>
                      <w:iCs/>
                      <w:sz w:val="22"/>
                      <w:szCs w:val="22"/>
                    </w:rPr>
                  </w:pPr>
                  <w:r w:rsidRPr="00680ED3">
                    <w:rPr>
                      <w:iCs/>
                      <w:sz w:val="22"/>
                      <w:szCs w:val="22"/>
                    </w:rPr>
                    <w:t>40.7%</w:t>
                  </w:r>
                </w:p>
              </w:tc>
              <w:tc>
                <w:tcPr>
                  <w:tcW w:w="1275" w:type="dxa"/>
                </w:tcPr>
                <w:p w14:paraId="3C80046D" w14:textId="2904E019" w:rsidR="004922D2" w:rsidRPr="00680ED3" w:rsidRDefault="006211A1" w:rsidP="00D1001B">
                  <w:pPr>
                    <w:spacing w:after="0"/>
                    <w:rPr>
                      <w:iCs/>
                      <w:sz w:val="22"/>
                      <w:szCs w:val="22"/>
                    </w:rPr>
                  </w:pPr>
                  <w:r w:rsidRPr="00680ED3">
                    <w:rPr>
                      <w:iCs/>
                      <w:sz w:val="22"/>
                      <w:szCs w:val="22"/>
                    </w:rPr>
                    <w:t>48.2%</w:t>
                  </w:r>
                </w:p>
              </w:tc>
              <w:tc>
                <w:tcPr>
                  <w:tcW w:w="1560" w:type="dxa"/>
                </w:tcPr>
                <w:p w14:paraId="485A4A88" w14:textId="0FFE9B42" w:rsidR="004922D2" w:rsidRPr="00680ED3" w:rsidRDefault="006211A1" w:rsidP="00D1001B">
                  <w:pPr>
                    <w:spacing w:after="0"/>
                    <w:rPr>
                      <w:iCs/>
                      <w:sz w:val="22"/>
                      <w:szCs w:val="22"/>
                    </w:rPr>
                  </w:pPr>
                  <w:r w:rsidRPr="00680ED3">
                    <w:rPr>
                      <w:iCs/>
                      <w:sz w:val="22"/>
                      <w:szCs w:val="22"/>
                    </w:rPr>
                    <w:t>66.7</w:t>
                  </w:r>
                  <w:r w:rsidR="004922D2" w:rsidRPr="00680ED3">
                    <w:rPr>
                      <w:iCs/>
                      <w:sz w:val="22"/>
                      <w:szCs w:val="22"/>
                    </w:rPr>
                    <w:t>%</w:t>
                  </w:r>
                  <w:r w:rsidR="005E07DE">
                    <w:rPr>
                      <w:iCs/>
                      <w:sz w:val="22"/>
                      <w:szCs w:val="22"/>
                    </w:rPr>
                    <w:t xml:space="preserve"> (</w:t>
                  </w:r>
                  <w:r w:rsidR="00B90BC2">
                    <w:rPr>
                      <w:iCs/>
                      <w:sz w:val="22"/>
                      <w:szCs w:val="22"/>
                    </w:rPr>
                    <w:t>62%)</w:t>
                  </w:r>
                </w:p>
              </w:tc>
              <w:tc>
                <w:tcPr>
                  <w:tcW w:w="1701" w:type="dxa"/>
                </w:tcPr>
                <w:p w14:paraId="4AEA10CF" w14:textId="5C08E390" w:rsidR="004922D2" w:rsidRPr="00680ED3" w:rsidRDefault="00430403" w:rsidP="00D1001B">
                  <w:pPr>
                    <w:spacing w:after="0"/>
                    <w:rPr>
                      <w:iCs/>
                      <w:sz w:val="22"/>
                      <w:szCs w:val="22"/>
                    </w:rPr>
                  </w:pPr>
                  <w:r w:rsidRPr="00680ED3">
                    <w:rPr>
                      <w:iCs/>
                      <w:sz w:val="22"/>
                      <w:szCs w:val="22"/>
                    </w:rPr>
                    <w:t>63</w:t>
                  </w:r>
                  <w:r w:rsidR="004922D2" w:rsidRPr="00680ED3">
                    <w:rPr>
                      <w:iCs/>
                      <w:sz w:val="22"/>
                      <w:szCs w:val="22"/>
                    </w:rPr>
                    <w:t>%</w:t>
                  </w:r>
                  <w:r w:rsidR="00B90BC2">
                    <w:rPr>
                      <w:iCs/>
                      <w:sz w:val="22"/>
                      <w:szCs w:val="22"/>
                    </w:rPr>
                    <w:t xml:space="preserve"> (55%)</w:t>
                  </w:r>
                </w:p>
              </w:tc>
              <w:tc>
                <w:tcPr>
                  <w:tcW w:w="1595" w:type="dxa"/>
                </w:tcPr>
                <w:p w14:paraId="1093A108" w14:textId="362D790C" w:rsidR="004922D2" w:rsidRPr="00680ED3" w:rsidRDefault="00061602" w:rsidP="00D1001B">
                  <w:pPr>
                    <w:spacing w:after="0"/>
                    <w:rPr>
                      <w:iCs/>
                      <w:sz w:val="22"/>
                      <w:szCs w:val="22"/>
                    </w:rPr>
                  </w:pPr>
                  <w:r w:rsidRPr="00680ED3">
                    <w:rPr>
                      <w:iCs/>
                      <w:sz w:val="22"/>
                      <w:szCs w:val="22"/>
                    </w:rPr>
                    <w:t>55.6%</w:t>
                  </w:r>
                  <w:r w:rsidR="00DB31DA">
                    <w:rPr>
                      <w:iCs/>
                      <w:sz w:val="22"/>
                      <w:szCs w:val="22"/>
                    </w:rPr>
                    <w:t xml:space="preserve"> (</w:t>
                  </w:r>
                  <w:r w:rsidR="00E93791">
                    <w:rPr>
                      <w:iCs/>
                      <w:sz w:val="22"/>
                      <w:szCs w:val="22"/>
                    </w:rPr>
                    <w:t>56%)</w:t>
                  </w:r>
                </w:p>
              </w:tc>
            </w:tr>
            <w:tr w:rsidR="004922D2" w14:paraId="4B885FA8" w14:textId="77777777" w:rsidTr="353EB0FF">
              <w:trPr>
                <w:trHeight w:val="300"/>
              </w:trPr>
              <w:tc>
                <w:tcPr>
                  <w:tcW w:w="1718" w:type="dxa"/>
                </w:tcPr>
                <w:p w14:paraId="5E4EE0E0" w14:textId="58E6676B" w:rsidR="004922D2" w:rsidRPr="00680ED3" w:rsidRDefault="00D23B5E" w:rsidP="00D1001B">
                  <w:pPr>
                    <w:spacing w:after="0"/>
                    <w:rPr>
                      <w:iCs/>
                      <w:sz w:val="22"/>
                      <w:szCs w:val="22"/>
                    </w:rPr>
                  </w:pPr>
                  <w:r w:rsidRPr="00680ED3">
                    <w:rPr>
                      <w:iCs/>
                      <w:sz w:val="22"/>
                      <w:szCs w:val="22"/>
                    </w:rPr>
                    <w:t xml:space="preserve">School </w:t>
                  </w:r>
                  <w:r w:rsidR="004922D2" w:rsidRPr="00680ED3">
                    <w:rPr>
                      <w:iCs/>
                      <w:sz w:val="22"/>
                      <w:szCs w:val="22"/>
                    </w:rPr>
                    <w:t>Gap</w:t>
                  </w:r>
                </w:p>
              </w:tc>
              <w:tc>
                <w:tcPr>
                  <w:tcW w:w="1418" w:type="dxa"/>
                  <w:shd w:val="clear" w:color="auto" w:fill="D9D9D9" w:themeFill="background1" w:themeFillShade="D9"/>
                </w:tcPr>
                <w:p w14:paraId="1315E9DD" w14:textId="045B4BC7" w:rsidR="004922D2" w:rsidRPr="00680ED3" w:rsidRDefault="004922D2" w:rsidP="00D1001B">
                  <w:pPr>
                    <w:spacing w:after="0"/>
                    <w:rPr>
                      <w:iCs/>
                      <w:sz w:val="22"/>
                      <w:szCs w:val="22"/>
                    </w:rPr>
                  </w:pPr>
                  <w:r w:rsidRPr="00680ED3">
                    <w:rPr>
                      <w:iCs/>
                      <w:sz w:val="22"/>
                      <w:szCs w:val="22"/>
                    </w:rPr>
                    <w:t>-21.</w:t>
                  </w:r>
                  <w:r w:rsidR="000952BD" w:rsidRPr="00680ED3">
                    <w:rPr>
                      <w:i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75" w:type="dxa"/>
                  <w:shd w:val="clear" w:color="auto" w:fill="D9D9D9" w:themeFill="background1" w:themeFillShade="D9"/>
                </w:tcPr>
                <w:p w14:paraId="17CA17B9" w14:textId="05731342" w:rsidR="004922D2" w:rsidRPr="00680ED3" w:rsidRDefault="00DB66FF" w:rsidP="00D1001B">
                  <w:pPr>
                    <w:spacing w:after="0"/>
                    <w:rPr>
                      <w:iCs/>
                      <w:sz w:val="22"/>
                      <w:szCs w:val="22"/>
                    </w:rPr>
                  </w:pPr>
                  <w:r w:rsidRPr="00680ED3">
                    <w:rPr>
                      <w:iCs/>
                      <w:sz w:val="22"/>
                      <w:szCs w:val="22"/>
                    </w:rPr>
                    <w:t>-23.7</w:t>
                  </w:r>
                </w:p>
              </w:tc>
              <w:tc>
                <w:tcPr>
                  <w:tcW w:w="1560" w:type="dxa"/>
                  <w:shd w:val="clear" w:color="auto" w:fill="D9D9D9" w:themeFill="background1" w:themeFillShade="D9"/>
                </w:tcPr>
                <w:p w14:paraId="4AB979C2" w14:textId="6B682252" w:rsidR="004922D2" w:rsidRPr="00680ED3" w:rsidRDefault="000952BD" w:rsidP="00D1001B">
                  <w:pPr>
                    <w:spacing w:after="0"/>
                    <w:rPr>
                      <w:iCs/>
                      <w:sz w:val="22"/>
                      <w:szCs w:val="22"/>
                    </w:rPr>
                  </w:pPr>
                  <w:r w:rsidRPr="00680ED3">
                    <w:rPr>
                      <w:iCs/>
                      <w:sz w:val="22"/>
                      <w:szCs w:val="22"/>
                    </w:rPr>
                    <w:t>-14.6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14:paraId="4880E357" w14:textId="67720752" w:rsidR="004922D2" w:rsidRPr="00680ED3" w:rsidRDefault="00061602" w:rsidP="00D1001B">
                  <w:pPr>
                    <w:spacing w:after="0"/>
                    <w:rPr>
                      <w:iCs/>
                      <w:sz w:val="22"/>
                      <w:szCs w:val="22"/>
                    </w:rPr>
                  </w:pPr>
                  <w:r w:rsidRPr="00680ED3">
                    <w:rPr>
                      <w:iCs/>
                      <w:sz w:val="22"/>
                      <w:szCs w:val="22"/>
                    </w:rPr>
                    <w:t>-8.9</w:t>
                  </w:r>
                </w:p>
              </w:tc>
              <w:tc>
                <w:tcPr>
                  <w:tcW w:w="1595" w:type="dxa"/>
                  <w:shd w:val="clear" w:color="auto" w:fill="D9D9D9" w:themeFill="background1" w:themeFillShade="D9"/>
                </w:tcPr>
                <w:p w14:paraId="139E4E9C" w14:textId="1BA657EA" w:rsidR="004922D2" w:rsidRPr="00680ED3" w:rsidRDefault="00087965" w:rsidP="00D1001B">
                  <w:pPr>
                    <w:spacing w:after="0"/>
                    <w:rPr>
                      <w:iCs/>
                      <w:sz w:val="22"/>
                      <w:szCs w:val="22"/>
                    </w:rPr>
                  </w:pPr>
                  <w:r w:rsidRPr="00680ED3">
                    <w:rPr>
                      <w:iCs/>
                      <w:sz w:val="22"/>
                      <w:szCs w:val="22"/>
                    </w:rPr>
                    <w:t>-22.5</w:t>
                  </w:r>
                </w:p>
              </w:tc>
            </w:tr>
            <w:tr w:rsidR="00F4777A" w14:paraId="342EA1A6" w14:textId="77777777" w:rsidTr="353EB0FF">
              <w:trPr>
                <w:trHeight w:val="300"/>
              </w:trPr>
              <w:tc>
                <w:tcPr>
                  <w:tcW w:w="1718" w:type="dxa"/>
                </w:tcPr>
                <w:p w14:paraId="4DAEBFC6" w14:textId="5CE77DE5" w:rsidR="00F4777A" w:rsidRPr="00680ED3" w:rsidRDefault="00F4777A" w:rsidP="00D1001B">
                  <w:pPr>
                    <w:spacing w:after="0"/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43FFFAFA" w14:textId="3286152F" w:rsidR="00F4777A" w:rsidRPr="00680ED3" w:rsidRDefault="00F4777A" w:rsidP="00D1001B">
                  <w:pPr>
                    <w:spacing w:after="0"/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</w:tcPr>
                <w:p w14:paraId="4E4C1FD0" w14:textId="77777777" w:rsidR="00F4777A" w:rsidRPr="00680ED3" w:rsidRDefault="00F4777A" w:rsidP="00D1001B">
                  <w:pPr>
                    <w:spacing w:after="0"/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14:paraId="596D43FB" w14:textId="15ECA517" w:rsidR="00F4777A" w:rsidRPr="00680ED3" w:rsidRDefault="00F4777A" w:rsidP="00D1001B">
                  <w:pPr>
                    <w:spacing w:after="0"/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4FD5D0B8" w14:textId="4D42C782" w:rsidR="00F4777A" w:rsidRPr="00680ED3" w:rsidRDefault="00F4777A" w:rsidP="00D1001B">
                  <w:pPr>
                    <w:spacing w:after="0"/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595" w:type="dxa"/>
                </w:tcPr>
                <w:p w14:paraId="58B50932" w14:textId="1CE9B7F4" w:rsidR="00F4777A" w:rsidRPr="00680ED3" w:rsidRDefault="00F4777A" w:rsidP="00D1001B">
                  <w:pPr>
                    <w:spacing w:after="0"/>
                    <w:rPr>
                      <w:iCs/>
                      <w:sz w:val="22"/>
                      <w:szCs w:val="22"/>
                    </w:rPr>
                  </w:pPr>
                </w:p>
              </w:tc>
            </w:tr>
          </w:tbl>
          <w:p w14:paraId="7522032E" w14:textId="77777777" w:rsidR="00715B7C" w:rsidRDefault="00715B7C" w:rsidP="00D1001B">
            <w:pPr>
              <w:spacing w:after="0"/>
              <w:rPr>
                <w:iCs/>
              </w:rPr>
            </w:pPr>
          </w:p>
          <w:p w14:paraId="2ED5A386" w14:textId="4E84B248" w:rsidR="007105DD" w:rsidRDefault="007F3FD2" w:rsidP="000A2EAE">
            <w:pPr>
              <w:spacing w:after="0"/>
              <w:rPr>
                <w:iCs/>
              </w:rPr>
            </w:pPr>
            <w:r>
              <w:rPr>
                <w:iCs/>
              </w:rPr>
              <w:t>Whilst the attainment gap within school</w:t>
            </w:r>
            <w:r w:rsidR="00B330E0">
              <w:rPr>
                <w:iCs/>
              </w:rPr>
              <w:t xml:space="preserve"> needs to be reduced, our disadvantaged children do perform better than the</w:t>
            </w:r>
            <w:r w:rsidR="00003C74">
              <w:rPr>
                <w:iCs/>
              </w:rPr>
              <w:t xml:space="preserve"> same group nationally. </w:t>
            </w:r>
          </w:p>
          <w:p w14:paraId="711E236C" w14:textId="77777777" w:rsidR="007105DD" w:rsidRDefault="007105DD" w:rsidP="000A2EAE">
            <w:pPr>
              <w:spacing w:after="0"/>
              <w:rPr>
                <w:iCs/>
              </w:rPr>
            </w:pPr>
          </w:p>
          <w:p w14:paraId="14BE96EC" w14:textId="77777777" w:rsidR="005F3586" w:rsidRDefault="00462770" w:rsidP="000A2EAE">
            <w:pPr>
              <w:spacing w:after="0"/>
              <w:rPr>
                <w:b/>
                <w:bCs/>
                <w:iCs/>
              </w:rPr>
            </w:pPr>
            <w:r w:rsidRPr="00393444">
              <w:rPr>
                <w:b/>
                <w:bCs/>
                <w:iCs/>
              </w:rPr>
              <w:t>KS1 SATs</w:t>
            </w:r>
            <w:r w:rsidR="00AD3FE6">
              <w:rPr>
                <w:b/>
                <w:bCs/>
                <w:iCs/>
              </w:rPr>
              <w:t xml:space="preserve"> </w:t>
            </w:r>
          </w:p>
          <w:p w14:paraId="556441FF" w14:textId="2ADA5368" w:rsidR="004518E7" w:rsidRPr="00393444" w:rsidRDefault="00AD3FE6" w:rsidP="000A2EAE">
            <w:pPr>
              <w:spacing w:after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(</w:t>
            </w:r>
            <w:r w:rsidR="00870D5B">
              <w:rPr>
                <w:b/>
                <w:bCs/>
                <w:iCs/>
              </w:rPr>
              <w:t>15 childr</w:t>
            </w:r>
            <w:r w:rsidR="009041AF">
              <w:rPr>
                <w:b/>
                <w:bCs/>
                <w:iCs/>
              </w:rPr>
              <w:t>en, 5 of whom have SEND)</w:t>
            </w:r>
          </w:p>
          <w:p w14:paraId="41E2AE70" w14:textId="77777777" w:rsidR="00393444" w:rsidRDefault="00393444" w:rsidP="000A2EAE">
            <w:pPr>
              <w:spacing w:after="0"/>
              <w:rPr>
                <w:iCs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18"/>
              <w:gridCol w:w="1418"/>
              <w:gridCol w:w="1560"/>
              <w:gridCol w:w="1701"/>
              <w:gridCol w:w="1595"/>
            </w:tblGrid>
            <w:tr w:rsidR="00393444" w14:paraId="12201FA0" w14:textId="77777777" w:rsidTr="353EB0FF">
              <w:trPr>
                <w:trHeight w:val="300"/>
              </w:trPr>
              <w:tc>
                <w:tcPr>
                  <w:tcW w:w="1718" w:type="dxa"/>
                </w:tcPr>
                <w:p w14:paraId="454B4038" w14:textId="77777777" w:rsidR="00393444" w:rsidRPr="00680ED3" w:rsidRDefault="00393444" w:rsidP="00393444">
                  <w:pPr>
                    <w:spacing w:after="0"/>
                    <w:rPr>
                      <w:iCs/>
                      <w:sz w:val="22"/>
                      <w:szCs w:val="22"/>
                    </w:rPr>
                  </w:pPr>
                  <w:r w:rsidRPr="00680ED3">
                    <w:rPr>
                      <w:iCs/>
                      <w:sz w:val="22"/>
                      <w:szCs w:val="22"/>
                    </w:rPr>
                    <w:t>Group</w:t>
                  </w:r>
                </w:p>
              </w:tc>
              <w:tc>
                <w:tcPr>
                  <w:tcW w:w="1418" w:type="dxa"/>
                </w:tcPr>
                <w:p w14:paraId="72EB6D65" w14:textId="77777777" w:rsidR="00393444" w:rsidRPr="00680ED3" w:rsidRDefault="00393444" w:rsidP="00393444">
                  <w:pPr>
                    <w:spacing w:after="0"/>
                    <w:rPr>
                      <w:iCs/>
                      <w:sz w:val="22"/>
                      <w:szCs w:val="22"/>
                    </w:rPr>
                  </w:pPr>
                  <w:r w:rsidRPr="00680ED3">
                    <w:rPr>
                      <w:iCs/>
                      <w:sz w:val="22"/>
                      <w:szCs w:val="22"/>
                    </w:rPr>
                    <w:t xml:space="preserve">RWM </w:t>
                  </w:r>
                </w:p>
              </w:tc>
              <w:tc>
                <w:tcPr>
                  <w:tcW w:w="1560" w:type="dxa"/>
                </w:tcPr>
                <w:p w14:paraId="7F57AB6A" w14:textId="77777777" w:rsidR="00393444" w:rsidRPr="00680ED3" w:rsidRDefault="00393444" w:rsidP="00393444">
                  <w:pPr>
                    <w:spacing w:after="0"/>
                    <w:rPr>
                      <w:iCs/>
                      <w:sz w:val="22"/>
                      <w:szCs w:val="22"/>
                    </w:rPr>
                  </w:pPr>
                  <w:r w:rsidRPr="00680ED3">
                    <w:rPr>
                      <w:iCs/>
                      <w:sz w:val="22"/>
                      <w:szCs w:val="22"/>
                    </w:rPr>
                    <w:t>Reading</w:t>
                  </w:r>
                </w:p>
              </w:tc>
              <w:tc>
                <w:tcPr>
                  <w:tcW w:w="1701" w:type="dxa"/>
                </w:tcPr>
                <w:p w14:paraId="6157FCD7" w14:textId="77777777" w:rsidR="00393444" w:rsidRPr="00680ED3" w:rsidRDefault="00393444" w:rsidP="00393444">
                  <w:pPr>
                    <w:spacing w:after="0"/>
                    <w:rPr>
                      <w:iCs/>
                      <w:sz w:val="22"/>
                      <w:szCs w:val="22"/>
                    </w:rPr>
                  </w:pPr>
                  <w:r w:rsidRPr="00680ED3">
                    <w:rPr>
                      <w:iCs/>
                      <w:sz w:val="22"/>
                      <w:szCs w:val="22"/>
                    </w:rPr>
                    <w:t>Writing</w:t>
                  </w:r>
                </w:p>
              </w:tc>
              <w:tc>
                <w:tcPr>
                  <w:tcW w:w="1595" w:type="dxa"/>
                </w:tcPr>
                <w:p w14:paraId="078B9D59" w14:textId="77777777" w:rsidR="00393444" w:rsidRPr="00680ED3" w:rsidRDefault="00393444" w:rsidP="00393444">
                  <w:pPr>
                    <w:spacing w:after="0"/>
                    <w:rPr>
                      <w:iCs/>
                      <w:sz w:val="22"/>
                      <w:szCs w:val="22"/>
                    </w:rPr>
                  </w:pPr>
                  <w:r w:rsidRPr="00680ED3">
                    <w:rPr>
                      <w:iCs/>
                      <w:sz w:val="22"/>
                      <w:szCs w:val="22"/>
                    </w:rPr>
                    <w:t xml:space="preserve">Maths </w:t>
                  </w:r>
                </w:p>
              </w:tc>
            </w:tr>
            <w:tr w:rsidR="00393444" w14:paraId="71AA2B2E" w14:textId="77777777" w:rsidTr="353EB0FF">
              <w:trPr>
                <w:trHeight w:val="300"/>
              </w:trPr>
              <w:tc>
                <w:tcPr>
                  <w:tcW w:w="1718" w:type="dxa"/>
                </w:tcPr>
                <w:p w14:paraId="7569EAC1" w14:textId="77777777" w:rsidR="00393444" w:rsidRPr="00680ED3" w:rsidRDefault="00393444" w:rsidP="00393444">
                  <w:pPr>
                    <w:spacing w:after="0"/>
                    <w:rPr>
                      <w:iCs/>
                      <w:sz w:val="22"/>
                      <w:szCs w:val="22"/>
                    </w:rPr>
                  </w:pPr>
                  <w:r w:rsidRPr="00680ED3">
                    <w:rPr>
                      <w:iCs/>
                      <w:sz w:val="22"/>
                      <w:szCs w:val="22"/>
                    </w:rPr>
                    <w:t>All Others</w:t>
                  </w:r>
                </w:p>
              </w:tc>
              <w:tc>
                <w:tcPr>
                  <w:tcW w:w="1418" w:type="dxa"/>
                </w:tcPr>
                <w:p w14:paraId="7B5FDFB4" w14:textId="12D36222" w:rsidR="00393444" w:rsidRPr="00680ED3" w:rsidRDefault="00EB44E1" w:rsidP="00393444">
                  <w:pPr>
                    <w:spacing w:after="0"/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55.6%</w:t>
                  </w:r>
                </w:p>
              </w:tc>
              <w:tc>
                <w:tcPr>
                  <w:tcW w:w="1560" w:type="dxa"/>
                </w:tcPr>
                <w:p w14:paraId="6AE4CEDD" w14:textId="560CEFC6" w:rsidR="00393444" w:rsidRPr="00680ED3" w:rsidRDefault="00EF3407" w:rsidP="00393444">
                  <w:pPr>
                    <w:spacing w:after="0"/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68.9%</w:t>
                  </w:r>
                </w:p>
              </w:tc>
              <w:tc>
                <w:tcPr>
                  <w:tcW w:w="1701" w:type="dxa"/>
                </w:tcPr>
                <w:p w14:paraId="66E0F383" w14:textId="2ABF5AEA" w:rsidR="00393444" w:rsidRPr="00680ED3" w:rsidRDefault="004358B7" w:rsidP="00393444">
                  <w:pPr>
                    <w:spacing w:after="0"/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57.8%</w:t>
                  </w:r>
                </w:p>
              </w:tc>
              <w:tc>
                <w:tcPr>
                  <w:tcW w:w="1595" w:type="dxa"/>
                </w:tcPr>
                <w:p w14:paraId="5EEAD2E9" w14:textId="4438D795" w:rsidR="00393444" w:rsidRPr="00680ED3" w:rsidRDefault="00A6147D" w:rsidP="00393444">
                  <w:pPr>
                    <w:spacing w:after="0"/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75.6%</w:t>
                  </w:r>
                </w:p>
              </w:tc>
            </w:tr>
            <w:tr w:rsidR="00393444" w14:paraId="56359A08" w14:textId="77777777" w:rsidTr="353EB0FF">
              <w:trPr>
                <w:trHeight w:val="300"/>
              </w:trPr>
              <w:tc>
                <w:tcPr>
                  <w:tcW w:w="1718" w:type="dxa"/>
                </w:tcPr>
                <w:p w14:paraId="28476B30" w14:textId="77777777" w:rsidR="00393444" w:rsidRPr="00680ED3" w:rsidRDefault="00393444" w:rsidP="00393444">
                  <w:pPr>
                    <w:spacing w:after="0"/>
                    <w:rPr>
                      <w:iCs/>
                      <w:sz w:val="22"/>
                      <w:szCs w:val="22"/>
                    </w:rPr>
                  </w:pPr>
                  <w:r w:rsidRPr="00680ED3">
                    <w:rPr>
                      <w:iCs/>
                      <w:sz w:val="22"/>
                      <w:szCs w:val="22"/>
                    </w:rPr>
                    <w:t>Disadvantaged</w:t>
                  </w:r>
                </w:p>
              </w:tc>
              <w:tc>
                <w:tcPr>
                  <w:tcW w:w="1418" w:type="dxa"/>
                </w:tcPr>
                <w:p w14:paraId="56E7E46E" w14:textId="60FA12BB" w:rsidR="00393444" w:rsidRPr="00680ED3" w:rsidRDefault="00EF3407" w:rsidP="00393444">
                  <w:pPr>
                    <w:spacing w:after="0"/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33.3%</w:t>
                  </w:r>
                </w:p>
              </w:tc>
              <w:tc>
                <w:tcPr>
                  <w:tcW w:w="1560" w:type="dxa"/>
                </w:tcPr>
                <w:p w14:paraId="5E66A626" w14:textId="124AFE91" w:rsidR="00393444" w:rsidRPr="00680ED3" w:rsidRDefault="00EF3407" w:rsidP="00393444">
                  <w:pPr>
                    <w:spacing w:after="0"/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40.0%</w:t>
                  </w:r>
                </w:p>
              </w:tc>
              <w:tc>
                <w:tcPr>
                  <w:tcW w:w="1701" w:type="dxa"/>
                </w:tcPr>
                <w:p w14:paraId="2300D72C" w14:textId="4DE7F7E2" w:rsidR="00393444" w:rsidRPr="00680ED3" w:rsidRDefault="004358B7" w:rsidP="00393444">
                  <w:pPr>
                    <w:spacing w:after="0"/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33.3%</w:t>
                  </w:r>
                </w:p>
              </w:tc>
              <w:tc>
                <w:tcPr>
                  <w:tcW w:w="1595" w:type="dxa"/>
                </w:tcPr>
                <w:p w14:paraId="724B84E1" w14:textId="39EFA8CC" w:rsidR="00393444" w:rsidRPr="00680ED3" w:rsidRDefault="00347CDB" w:rsidP="00393444">
                  <w:pPr>
                    <w:spacing w:after="0"/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60%</w:t>
                  </w:r>
                </w:p>
              </w:tc>
            </w:tr>
            <w:tr w:rsidR="00393444" w14:paraId="7A47166C" w14:textId="77777777" w:rsidTr="353EB0FF">
              <w:trPr>
                <w:trHeight w:val="300"/>
              </w:trPr>
              <w:tc>
                <w:tcPr>
                  <w:tcW w:w="1718" w:type="dxa"/>
                </w:tcPr>
                <w:p w14:paraId="61630D21" w14:textId="77777777" w:rsidR="00393444" w:rsidRPr="00680ED3" w:rsidRDefault="00393444" w:rsidP="00393444">
                  <w:pPr>
                    <w:spacing w:after="0"/>
                    <w:rPr>
                      <w:iCs/>
                      <w:sz w:val="22"/>
                      <w:szCs w:val="22"/>
                    </w:rPr>
                  </w:pPr>
                  <w:r w:rsidRPr="00680ED3">
                    <w:rPr>
                      <w:iCs/>
                      <w:sz w:val="22"/>
                      <w:szCs w:val="22"/>
                    </w:rPr>
                    <w:t>School Gap</w:t>
                  </w:r>
                </w:p>
              </w:tc>
              <w:tc>
                <w:tcPr>
                  <w:tcW w:w="1418" w:type="dxa"/>
                  <w:shd w:val="clear" w:color="auto" w:fill="D9D9D9" w:themeFill="background1" w:themeFillShade="D9"/>
                </w:tcPr>
                <w:p w14:paraId="2FFB9E3B" w14:textId="5A0C5DCD" w:rsidR="00393444" w:rsidRPr="00680ED3" w:rsidRDefault="00347CDB" w:rsidP="00393444">
                  <w:pPr>
                    <w:spacing w:after="0"/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-22.3%</w:t>
                  </w:r>
                </w:p>
              </w:tc>
              <w:tc>
                <w:tcPr>
                  <w:tcW w:w="1560" w:type="dxa"/>
                  <w:shd w:val="clear" w:color="auto" w:fill="D9D9D9" w:themeFill="background1" w:themeFillShade="D9"/>
                </w:tcPr>
                <w:p w14:paraId="78CA9442" w14:textId="67E60F90" w:rsidR="00393444" w:rsidRPr="00680ED3" w:rsidRDefault="00347CDB" w:rsidP="00393444">
                  <w:pPr>
                    <w:spacing w:after="0"/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-28.9%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14:paraId="0EA6A87B" w14:textId="2993E0D7" w:rsidR="00393444" w:rsidRPr="00680ED3" w:rsidRDefault="00347CDB" w:rsidP="00393444">
                  <w:pPr>
                    <w:spacing w:after="0"/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-24.5%</w:t>
                  </w:r>
                </w:p>
              </w:tc>
              <w:tc>
                <w:tcPr>
                  <w:tcW w:w="1595" w:type="dxa"/>
                  <w:shd w:val="clear" w:color="auto" w:fill="D9D9D9" w:themeFill="background1" w:themeFillShade="D9"/>
                </w:tcPr>
                <w:p w14:paraId="2A9A3DF1" w14:textId="71079445" w:rsidR="00393444" w:rsidRPr="00680ED3" w:rsidRDefault="00AD3FE6" w:rsidP="00393444">
                  <w:pPr>
                    <w:spacing w:after="0"/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-15.6%</w:t>
                  </w:r>
                </w:p>
              </w:tc>
            </w:tr>
          </w:tbl>
          <w:p w14:paraId="189C4282" w14:textId="77777777" w:rsidR="00393444" w:rsidRDefault="00393444" w:rsidP="000A2EAE">
            <w:pPr>
              <w:spacing w:after="0"/>
              <w:rPr>
                <w:iCs/>
              </w:rPr>
            </w:pPr>
          </w:p>
          <w:p w14:paraId="656E383C" w14:textId="03E031CB" w:rsidR="004518E7" w:rsidRPr="004518E7" w:rsidRDefault="004518E7" w:rsidP="000A2EAE">
            <w:pPr>
              <w:spacing w:after="0"/>
              <w:rPr>
                <w:b/>
                <w:bCs/>
                <w:iCs/>
                <w:u w:val="single"/>
              </w:rPr>
            </w:pPr>
            <w:r w:rsidRPr="004518E7">
              <w:rPr>
                <w:b/>
                <w:bCs/>
                <w:iCs/>
                <w:u w:val="single"/>
              </w:rPr>
              <w:t>Secondary</w:t>
            </w:r>
          </w:p>
          <w:p w14:paraId="60FFDC0B" w14:textId="77777777" w:rsidR="00D95EBB" w:rsidRDefault="00D95EBB" w:rsidP="000A2EAE">
            <w:pPr>
              <w:spacing w:after="0"/>
            </w:pPr>
          </w:p>
          <w:tbl>
            <w:tblPr>
              <w:tblStyle w:val="TableGrid"/>
              <w:tblW w:w="9270" w:type="dxa"/>
              <w:tblLook w:val="06A0" w:firstRow="1" w:lastRow="0" w:firstColumn="1" w:lastColumn="0" w:noHBand="1" w:noVBand="1"/>
            </w:tblPr>
            <w:tblGrid>
              <w:gridCol w:w="1572"/>
              <w:gridCol w:w="948"/>
              <w:gridCol w:w="888"/>
              <w:gridCol w:w="930"/>
              <w:gridCol w:w="1035"/>
              <w:gridCol w:w="999"/>
              <w:gridCol w:w="966"/>
              <w:gridCol w:w="966"/>
              <w:gridCol w:w="966"/>
            </w:tblGrid>
            <w:tr w:rsidR="7871C2AD" w14:paraId="696016F1" w14:textId="77777777" w:rsidTr="1EB4D28B">
              <w:trPr>
                <w:trHeight w:val="540"/>
              </w:trPr>
              <w:tc>
                <w:tcPr>
                  <w:tcW w:w="1572" w:type="dxa"/>
                </w:tcPr>
                <w:p w14:paraId="5B4574B1" w14:textId="13600443" w:rsidR="7871C2AD" w:rsidRDefault="7871C2AD" w:rsidP="1EB4D28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01" w:type="dxa"/>
                  <w:gridSpan w:val="4"/>
                  <w:vAlign w:val="center"/>
                </w:tcPr>
                <w:p w14:paraId="319F7E3D" w14:textId="2E493DE4" w:rsidR="2E4DADD2" w:rsidRDefault="46D0B943" w:rsidP="1EB4D28B">
                  <w:pPr>
                    <w:jc w:val="center"/>
                    <w:rPr>
                      <w:sz w:val="18"/>
                      <w:szCs w:val="18"/>
                    </w:rPr>
                  </w:pPr>
                  <w:r w:rsidRPr="1EB4D28B">
                    <w:rPr>
                      <w:sz w:val="18"/>
                      <w:szCs w:val="18"/>
                    </w:rPr>
                    <w:t>Average Attainment Rank</w:t>
                  </w:r>
                </w:p>
              </w:tc>
              <w:tc>
                <w:tcPr>
                  <w:tcW w:w="999" w:type="dxa"/>
                  <w:vAlign w:val="center"/>
                </w:tcPr>
                <w:p w14:paraId="68F8DAE4" w14:textId="1F11C005" w:rsidR="4358F409" w:rsidRDefault="35076F08" w:rsidP="1EB4D28B">
                  <w:pPr>
                    <w:jc w:val="center"/>
                  </w:pPr>
                  <w:r w:rsidRPr="1EB4D28B">
                    <w:rPr>
                      <w:sz w:val="18"/>
                      <w:szCs w:val="18"/>
                    </w:rPr>
                    <w:t>Year 11</w:t>
                  </w:r>
                </w:p>
              </w:tc>
              <w:tc>
                <w:tcPr>
                  <w:tcW w:w="966" w:type="dxa"/>
                  <w:vAlign w:val="center"/>
                </w:tcPr>
                <w:p w14:paraId="209FDE5D" w14:textId="30D9E0CF" w:rsidR="42466282" w:rsidRDefault="4A8DF89D" w:rsidP="1EB4D28B">
                  <w:pPr>
                    <w:jc w:val="center"/>
                    <w:rPr>
                      <w:sz w:val="18"/>
                      <w:szCs w:val="18"/>
                    </w:rPr>
                  </w:pPr>
                  <w:r w:rsidRPr="1EB4D28B">
                    <w:rPr>
                      <w:sz w:val="18"/>
                      <w:szCs w:val="18"/>
                    </w:rPr>
                    <w:t>2021-22</w:t>
                  </w:r>
                </w:p>
              </w:tc>
              <w:tc>
                <w:tcPr>
                  <w:tcW w:w="966" w:type="dxa"/>
                  <w:vAlign w:val="center"/>
                </w:tcPr>
                <w:p w14:paraId="702F472D" w14:textId="4BA967CB" w:rsidR="1EB4D28B" w:rsidRDefault="1EB4D28B" w:rsidP="1EB4D28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66" w:type="dxa"/>
                  <w:vAlign w:val="center"/>
                </w:tcPr>
                <w:p w14:paraId="366D6F38" w14:textId="72566D04" w:rsidR="42466282" w:rsidRDefault="38AE6080" w:rsidP="1EB4D28B">
                  <w:pPr>
                    <w:jc w:val="center"/>
                  </w:pPr>
                  <w:r w:rsidRPr="1EB4D28B">
                    <w:rPr>
                      <w:sz w:val="18"/>
                      <w:szCs w:val="18"/>
                    </w:rPr>
                    <w:t>2019</w:t>
                  </w:r>
                </w:p>
              </w:tc>
            </w:tr>
            <w:tr w:rsidR="7871C2AD" w14:paraId="39720993" w14:textId="77777777" w:rsidTr="1EB4D28B">
              <w:trPr>
                <w:trHeight w:val="585"/>
              </w:trPr>
              <w:tc>
                <w:tcPr>
                  <w:tcW w:w="1572" w:type="dxa"/>
                </w:tcPr>
                <w:p w14:paraId="0AAADC7D" w14:textId="4C23A9A5" w:rsidR="7871C2AD" w:rsidRDefault="7871C2AD" w:rsidP="1EB4D28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48" w:type="dxa"/>
                  <w:vAlign w:val="center"/>
                </w:tcPr>
                <w:p w14:paraId="776E06A7" w14:textId="58F3C6A5" w:rsidR="6376292A" w:rsidRDefault="6FEB8D5D" w:rsidP="1EB4D28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1EB4D28B">
                    <w:rPr>
                      <w:b/>
                      <w:bCs/>
                      <w:sz w:val="18"/>
                      <w:szCs w:val="18"/>
                    </w:rPr>
                    <w:t>Year 7</w:t>
                  </w:r>
                </w:p>
              </w:tc>
              <w:tc>
                <w:tcPr>
                  <w:tcW w:w="888" w:type="dxa"/>
                  <w:vAlign w:val="center"/>
                </w:tcPr>
                <w:p w14:paraId="6FE24716" w14:textId="42BF05DF" w:rsidR="6376292A" w:rsidRDefault="6FEB8D5D" w:rsidP="1EB4D28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1EB4D28B">
                    <w:rPr>
                      <w:b/>
                      <w:bCs/>
                      <w:sz w:val="18"/>
                      <w:szCs w:val="18"/>
                    </w:rPr>
                    <w:t>Year 8</w:t>
                  </w:r>
                </w:p>
              </w:tc>
              <w:tc>
                <w:tcPr>
                  <w:tcW w:w="930" w:type="dxa"/>
                  <w:vAlign w:val="center"/>
                </w:tcPr>
                <w:p w14:paraId="4E76254C" w14:textId="3B987A2D" w:rsidR="6376292A" w:rsidRDefault="6FEB8D5D" w:rsidP="1EB4D28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1EB4D28B">
                    <w:rPr>
                      <w:b/>
                      <w:bCs/>
                      <w:sz w:val="18"/>
                      <w:szCs w:val="18"/>
                    </w:rPr>
                    <w:t>Year 9</w:t>
                  </w:r>
                </w:p>
              </w:tc>
              <w:tc>
                <w:tcPr>
                  <w:tcW w:w="1035" w:type="dxa"/>
                  <w:vAlign w:val="center"/>
                </w:tcPr>
                <w:p w14:paraId="3154D822" w14:textId="604697B6" w:rsidR="6376292A" w:rsidRDefault="6FEB8D5D" w:rsidP="1EB4D28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1EB4D28B">
                    <w:rPr>
                      <w:b/>
                      <w:bCs/>
                      <w:sz w:val="18"/>
                      <w:szCs w:val="18"/>
                    </w:rPr>
                    <w:t>Year 10</w:t>
                  </w:r>
                </w:p>
              </w:tc>
              <w:tc>
                <w:tcPr>
                  <w:tcW w:w="999" w:type="dxa"/>
                  <w:vAlign w:val="center"/>
                </w:tcPr>
                <w:p w14:paraId="00AB69BC" w14:textId="47BE8916" w:rsidR="16F97D76" w:rsidRDefault="397BBC44" w:rsidP="1EB4D28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1EB4D28B">
                    <w:rPr>
                      <w:b/>
                      <w:bCs/>
                      <w:sz w:val="18"/>
                      <w:szCs w:val="18"/>
                    </w:rPr>
                    <w:t>Att8</w:t>
                  </w:r>
                </w:p>
              </w:tc>
              <w:tc>
                <w:tcPr>
                  <w:tcW w:w="966" w:type="dxa"/>
                  <w:vAlign w:val="center"/>
                </w:tcPr>
                <w:p w14:paraId="1225D6F6" w14:textId="24DAA44A" w:rsidR="75DBCF1E" w:rsidRDefault="2F9468AB" w:rsidP="1EB4D28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1EB4D28B">
                    <w:rPr>
                      <w:b/>
                      <w:bCs/>
                      <w:sz w:val="18"/>
                      <w:szCs w:val="18"/>
                    </w:rPr>
                    <w:t>P8</w:t>
                  </w:r>
                </w:p>
              </w:tc>
              <w:tc>
                <w:tcPr>
                  <w:tcW w:w="966" w:type="dxa"/>
                  <w:vAlign w:val="center"/>
                </w:tcPr>
                <w:p w14:paraId="58522EBC" w14:textId="70DC80C0" w:rsidR="1D86B63D" w:rsidRDefault="1D86B63D" w:rsidP="1EB4D28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1EB4D28B">
                    <w:rPr>
                      <w:b/>
                      <w:bCs/>
                      <w:sz w:val="18"/>
                      <w:szCs w:val="18"/>
                    </w:rPr>
                    <w:t>Att8</w:t>
                  </w:r>
                </w:p>
              </w:tc>
              <w:tc>
                <w:tcPr>
                  <w:tcW w:w="966" w:type="dxa"/>
                  <w:vAlign w:val="center"/>
                </w:tcPr>
                <w:p w14:paraId="0DDCFEDA" w14:textId="3B3F684F" w:rsidR="5B1CFEA8" w:rsidRDefault="5C206611" w:rsidP="1EB4D28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1EB4D28B">
                    <w:rPr>
                      <w:b/>
                      <w:bCs/>
                      <w:sz w:val="18"/>
                      <w:szCs w:val="18"/>
                    </w:rPr>
                    <w:t>P8</w:t>
                  </w:r>
                </w:p>
              </w:tc>
            </w:tr>
            <w:tr w:rsidR="7871C2AD" w14:paraId="5AA2C5AA" w14:textId="77777777" w:rsidTr="1EB4D28B">
              <w:trPr>
                <w:trHeight w:val="585"/>
              </w:trPr>
              <w:tc>
                <w:tcPr>
                  <w:tcW w:w="1572" w:type="dxa"/>
                </w:tcPr>
                <w:p w14:paraId="6FDCA022" w14:textId="5A387A44" w:rsidR="6376292A" w:rsidRDefault="6FEB8D5D" w:rsidP="1EB4D28B">
                  <w:pPr>
                    <w:rPr>
                      <w:sz w:val="18"/>
                      <w:szCs w:val="18"/>
                    </w:rPr>
                  </w:pPr>
                  <w:r w:rsidRPr="1EB4D28B">
                    <w:rPr>
                      <w:sz w:val="18"/>
                      <w:szCs w:val="18"/>
                    </w:rPr>
                    <w:t>All others</w:t>
                  </w:r>
                </w:p>
              </w:tc>
              <w:tc>
                <w:tcPr>
                  <w:tcW w:w="948" w:type="dxa"/>
                  <w:vAlign w:val="center"/>
                </w:tcPr>
                <w:p w14:paraId="3EF71CC1" w14:textId="6BB2F479" w:rsidR="6376292A" w:rsidRDefault="6FEB8D5D" w:rsidP="1EB4D28B">
                  <w:pPr>
                    <w:jc w:val="center"/>
                    <w:rPr>
                      <w:sz w:val="18"/>
                      <w:szCs w:val="18"/>
                    </w:rPr>
                  </w:pPr>
                  <w:r w:rsidRPr="1EB4D28B">
                    <w:rPr>
                      <w:sz w:val="18"/>
                      <w:szCs w:val="18"/>
                    </w:rPr>
                    <w:t>46.5%</w:t>
                  </w:r>
                </w:p>
              </w:tc>
              <w:tc>
                <w:tcPr>
                  <w:tcW w:w="888" w:type="dxa"/>
                  <w:vAlign w:val="center"/>
                </w:tcPr>
                <w:p w14:paraId="6AF00077" w14:textId="43533737" w:rsidR="6376292A" w:rsidRDefault="6FEB8D5D" w:rsidP="1EB4D28B">
                  <w:pPr>
                    <w:jc w:val="center"/>
                    <w:rPr>
                      <w:sz w:val="18"/>
                      <w:szCs w:val="18"/>
                    </w:rPr>
                  </w:pPr>
                  <w:r w:rsidRPr="1EB4D28B">
                    <w:rPr>
                      <w:sz w:val="18"/>
                      <w:szCs w:val="18"/>
                    </w:rPr>
                    <w:t>45.4%</w:t>
                  </w:r>
                </w:p>
              </w:tc>
              <w:tc>
                <w:tcPr>
                  <w:tcW w:w="930" w:type="dxa"/>
                  <w:vAlign w:val="center"/>
                </w:tcPr>
                <w:p w14:paraId="0058A2A9" w14:textId="4CD976AA" w:rsidR="6376292A" w:rsidRDefault="6FEB8D5D" w:rsidP="1EB4D28B">
                  <w:pPr>
                    <w:jc w:val="center"/>
                    <w:rPr>
                      <w:sz w:val="18"/>
                      <w:szCs w:val="18"/>
                    </w:rPr>
                  </w:pPr>
                  <w:r w:rsidRPr="1EB4D28B">
                    <w:rPr>
                      <w:sz w:val="18"/>
                      <w:szCs w:val="18"/>
                    </w:rPr>
                    <w:t>51.5%</w:t>
                  </w:r>
                </w:p>
              </w:tc>
              <w:tc>
                <w:tcPr>
                  <w:tcW w:w="1035" w:type="dxa"/>
                  <w:vAlign w:val="center"/>
                </w:tcPr>
                <w:p w14:paraId="0AEE6C72" w14:textId="2972D9EB" w:rsidR="6376292A" w:rsidRDefault="6FEB8D5D" w:rsidP="1EB4D28B">
                  <w:pPr>
                    <w:jc w:val="center"/>
                    <w:rPr>
                      <w:sz w:val="18"/>
                      <w:szCs w:val="18"/>
                    </w:rPr>
                  </w:pPr>
                  <w:r w:rsidRPr="1EB4D28B">
                    <w:rPr>
                      <w:sz w:val="18"/>
                      <w:szCs w:val="18"/>
                    </w:rPr>
                    <w:t>3</w:t>
                  </w:r>
                  <w:r w:rsidR="20378893" w:rsidRPr="1EB4D28B">
                    <w:rPr>
                      <w:sz w:val="18"/>
                      <w:szCs w:val="18"/>
                    </w:rPr>
                    <w:t>3.7</w:t>
                  </w:r>
                  <w:r w:rsidRPr="1EB4D28B">
                    <w:rPr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999" w:type="dxa"/>
                  <w:vAlign w:val="center"/>
                </w:tcPr>
                <w:p w14:paraId="31CFE5BA" w14:textId="307F279C" w:rsidR="291D8EFE" w:rsidRDefault="6FA9F208" w:rsidP="1EB4D28B">
                  <w:pPr>
                    <w:jc w:val="center"/>
                    <w:rPr>
                      <w:sz w:val="18"/>
                      <w:szCs w:val="18"/>
                    </w:rPr>
                  </w:pPr>
                  <w:r w:rsidRPr="1EB4D28B">
                    <w:rPr>
                      <w:sz w:val="18"/>
                      <w:szCs w:val="18"/>
                    </w:rPr>
                    <w:t>4</w:t>
                  </w:r>
                  <w:r w:rsidR="763B116C" w:rsidRPr="1EB4D28B">
                    <w:rPr>
                      <w:sz w:val="18"/>
                      <w:szCs w:val="18"/>
                    </w:rPr>
                    <w:t>9</w:t>
                  </w:r>
                  <w:r w:rsidRPr="1EB4D28B">
                    <w:rPr>
                      <w:sz w:val="18"/>
                      <w:szCs w:val="18"/>
                    </w:rPr>
                    <w:t>.</w:t>
                  </w:r>
                  <w:r w:rsidR="031230F2" w:rsidRPr="1EB4D28B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66" w:type="dxa"/>
                  <w:vAlign w:val="center"/>
                </w:tcPr>
                <w:p w14:paraId="4C3517E8" w14:textId="09D62BA8" w:rsidR="753AE19F" w:rsidRDefault="76C86B77" w:rsidP="1EB4D28B">
                  <w:pPr>
                    <w:jc w:val="center"/>
                    <w:rPr>
                      <w:sz w:val="18"/>
                      <w:szCs w:val="18"/>
                    </w:rPr>
                  </w:pPr>
                  <w:r w:rsidRPr="1EB4D28B">
                    <w:rPr>
                      <w:sz w:val="18"/>
                      <w:szCs w:val="18"/>
                    </w:rPr>
                    <w:t>0.56</w:t>
                  </w:r>
                </w:p>
              </w:tc>
              <w:tc>
                <w:tcPr>
                  <w:tcW w:w="966" w:type="dxa"/>
                  <w:vAlign w:val="center"/>
                </w:tcPr>
                <w:p w14:paraId="76033FEE" w14:textId="0A2854D6" w:rsidR="2449CDBF" w:rsidRDefault="2449CDBF" w:rsidP="1EB4D28B">
                  <w:pPr>
                    <w:jc w:val="center"/>
                    <w:rPr>
                      <w:sz w:val="18"/>
                      <w:szCs w:val="18"/>
                    </w:rPr>
                  </w:pPr>
                  <w:r w:rsidRPr="1EB4D28B">
                    <w:rPr>
                      <w:sz w:val="18"/>
                      <w:szCs w:val="18"/>
                    </w:rPr>
                    <w:t>48.7</w:t>
                  </w:r>
                </w:p>
              </w:tc>
              <w:tc>
                <w:tcPr>
                  <w:tcW w:w="966" w:type="dxa"/>
                  <w:vAlign w:val="center"/>
                </w:tcPr>
                <w:p w14:paraId="343A0ADF" w14:textId="3D3932EE" w:rsidR="1928EC33" w:rsidRDefault="2449CDBF" w:rsidP="1EB4D28B">
                  <w:pPr>
                    <w:jc w:val="center"/>
                    <w:rPr>
                      <w:sz w:val="18"/>
                      <w:szCs w:val="18"/>
                    </w:rPr>
                  </w:pPr>
                  <w:r w:rsidRPr="1EB4D28B">
                    <w:rPr>
                      <w:sz w:val="18"/>
                      <w:szCs w:val="18"/>
                    </w:rPr>
                    <w:t>+0.62</w:t>
                  </w:r>
                </w:p>
              </w:tc>
            </w:tr>
            <w:tr w:rsidR="7871C2AD" w14:paraId="0E8A8DDB" w14:textId="77777777" w:rsidTr="1EB4D28B">
              <w:trPr>
                <w:trHeight w:val="540"/>
              </w:trPr>
              <w:tc>
                <w:tcPr>
                  <w:tcW w:w="1572" w:type="dxa"/>
                </w:tcPr>
                <w:p w14:paraId="785FEA67" w14:textId="0334B754" w:rsidR="6376292A" w:rsidRDefault="6FEB8D5D" w:rsidP="1EB4D28B">
                  <w:pPr>
                    <w:rPr>
                      <w:sz w:val="18"/>
                      <w:szCs w:val="18"/>
                    </w:rPr>
                  </w:pPr>
                  <w:r w:rsidRPr="1EB4D28B">
                    <w:rPr>
                      <w:sz w:val="18"/>
                      <w:szCs w:val="18"/>
                    </w:rPr>
                    <w:t>Disadvantage</w:t>
                  </w:r>
                  <w:r w:rsidR="3BC73FFB" w:rsidRPr="1EB4D28B">
                    <w:rPr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948" w:type="dxa"/>
                  <w:vAlign w:val="center"/>
                </w:tcPr>
                <w:p w14:paraId="5934CD57" w14:textId="33D81D9B" w:rsidR="6376292A" w:rsidRDefault="6FEB8D5D" w:rsidP="1EB4D28B">
                  <w:pPr>
                    <w:jc w:val="center"/>
                    <w:rPr>
                      <w:sz w:val="18"/>
                      <w:szCs w:val="18"/>
                    </w:rPr>
                  </w:pPr>
                  <w:r w:rsidRPr="1EB4D28B">
                    <w:rPr>
                      <w:sz w:val="18"/>
                      <w:szCs w:val="18"/>
                    </w:rPr>
                    <w:t>43.5%</w:t>
                  </w:r>
                </w:p>
              </w:tc>
              <w:tc>
                <w:tcPr>
                  <w:tcW w:w="888" w:type="dxa"/>
                  <w:vAlign w:val="center"/>
                </w:tcPr>
                <w:p w14:paraId="5FE2FDFD" w14:textId="40A1C0AA" w:rsidR="6376292A" w:rsidRDefault="6FEB8D5D" w:rsidP="1EB4D28B">
                  <w:pPr>
                    <w:jc w:val="center"/>
                    <w:rPr>
                      <w:sz w:val="18"/>
                      <w:szCs w:val="18"/>
                    </w:rPr>
                  </w:pPr>
                  <w:r w:rsidRPr="1EB4D28B">
                    <w:rPr>
                      <w:sz w:val="18"/>
                      <w:szCs w:val="18"/>
                    </w:rPr>
                    <w:t>38.6%</w:t>
                  </w:r>
                </w:p>
              </w:tc>
              <w:tc>
                <w:tcPr>
                  <w:tcW w:w="930" w:type="dxa"/>
                  <w:vAlign w:val="center"/>
                </w:tcPr>
                <w:p w14:paraId="587041BD" w14:textId="0001A702" w:rsidR="6376292A" w:rsidRDefault="6FEB8D5D" w:rsidP="1EB4D28B">
                  <w:pPr>
                    <w:jc w:val="center"/>
                    <w:rPr>
                      <w:sz w:val="18"/>
                      <w:szCs w:val="18"/>
                    </w:rPr>
                  </w:pPr>
                  <w:r w:rsidRPr="1EB4D28B">
                    <w:rPr>
                      <w:sz w:val="18"/>
                      <w:szCs w:val="18"/>
                    </w:rPr>
                    <w:t>42.9%</w:t>
                  </w:r>
                </w:p>
              </w:tc>
              <w:tc>
                <w:tcPr>
                  <w:tcW w:w="1035" w:type="dxa"/>
                  <w:vAlign w:val="center"/>
                </w:tcPr>
                <w:p w14:paraId="32D3686B" w14:textId="3272B4FF" w:rsidR="6376292A" w:rsidRDefault="6FEB8D5D" w:rsidP="1EB4D28B">
                  <w:pPr>
                    <w:jc w:val="center"/>
                    <w:rPr>
                      <w:sz w:val="18"/>
                      <w:szCs w:val="18"/>
                    </w:rPr>
                  </w:pPr>
                  <w:r w:rsidRPr="1EB4D28B">
                    <w:rPr>
                      <w:sz w:val="18"/>
                      <w:szCs w:val="18"/>
                    </w:rPr>
                    <w:t>27.68%</w:t>
                  </w:r>
                </w:p>
              </w:tc>
              <w:tc>
                <w:tcPr>
                  <w:tcW w:w="999" w:type="dxa"/>
                  <w:vAlign w:val="center"/>
                </w:tcPr>
                <w:p w14:paraId="554ED0CA" w14:textId="04F745F7" w:rsidR="62DBC4F4" w:rsidRDefault="2CAFCD2A" w:rsidP="1EB4D28B">
                  <w:pPr>
                    <w:jc w:val="center"/>
                    <w:rPr>
                      <w:sz w:val="18"/>
                      <w:szCs w:val="18"/>
                    </w:rPr>
                  </w:pPr>
                  <w:r w:rsidRPr="1EB4D28B">
                    <w:rPr>
                      <w:sz w:val="18"/>
                      <w:szCs w:val="18"/>
                    </w:rPr>
                    <w:t>38.4</w:t>
                  </w:r>
                </w:p>
              </w:tc>
              <w:tc>
                <w:tcPr>
                  <w:tcW w:w="966" w:type="dxa"/>
                  <w:vAlign w:val="center"/>
                </w:tcPr>
                <w:p w14:paraId="326335A1" w14:textId="3DFF958D" w:rsidR="457DBBD4" w:rsidRDefault="76EB2FE0" w:rsidP="1EB4D28B">
                  <w:pPr>
                    <w:jc w:val="center"/>
                    <w:rPr>
                      <w:sz w:val="18"/>
                      <w:szCs w:val="18"/>
                    </w:rPr>
                  </w:pPr>
                  <w:r w:rsidRPr="1EB4D28B">
                    <w:rPr>
                      <w:sz w:val="18"/>
                      <w:szCs w:val="18"/>
                    </w:rPr>
                    <w:t>-0.18</w:t>
                  </w:r>
                </w:p>
              </w:tc>
              <w:tc>
                <w:tcPr>
                  <w:tcW w:w="966" w:type="dxa"/>
                  <w:vAlign w:val="center"/>
                </w:tcPr>
                <w:p w14:paraId="0614FC08" w14:textId="1122ECC1" w:rsidR="45A936CE" w:rsidRDefault="45A936CE" w:rsidP="1EB4D28B">
                  <w:pPr>
                    <w:jc w:val="center"/>
                    <w:rPr>
                      <w:sz w:val="18"/>
                      <w:szCs w:val="18"/>
                    </w:rPr>
                  </w:pPr>
                  <w:r w:rsidRPr="1EB4D28B">
                    <w:rPr>
                      <w:sz w:val="18"/>
                      <w:szCs w:val="18"/>
                    </w:rPr>
                    <w:t>35.2</w:t>
                  </w:r>
                </w:p>
              </w:tc>
              <w:tc>
                <w:tcPr>
                  <w:tcW w:w="966" w:type="dxa"/>
                  <w:vAlign w:val="center"/>
                </w:tcPr>
                <w:p w14:paraId="132D820C" w14:textId="6D562826" w:rsidR="2F0FF895" w:rsidRDefault="45A936CE" w:rsidP="1EB4D28B">
                  <w:pPr>
                    <w:jc w:val="center"/>
                    <w:rPr>
                      <w:sz w:val="18"/>
                      <w:szCs w:val="18"/>
                    </w:rPr>
                  </w:pPr>
                  <w:r w:rsidRPr="1EB4D28B">
                    <w:rPr>
                      <w:sz w:val="18"/>
                      <w:szCs w:val="18"/>
                    </w:rPr>
                    <w:t>-0.15</w:t>
                  </w:r>
                </w:p>
              </w:tc>
            </w:tr>
            <w:tr w:rsidR="7871C2AD" w14:paraId="205E55E9" w14:textId="77777777" w:rsidTr="1EB4D28B">
              <w:trPr>
                <w:trHeight w:val="585"/>
              </w:trPr>
              <w:tc>
                <w:tcPr>
                  <w:tcW w:w="1572" w:type="dxa"/>
                </w:tcPr>
                <w:p w14:paraId="38DEB6A5" w14:textId="33B458F5" w:rsidR="6376292A" w:rsidRDefault="6FEB8D5D" w:rsidP="1EB4D28B">
                  <w:pPr>
                    <w:rPr>
                      <w:sz w:val="18"/>
                      <w:szCs w:val="18"/>
                    </w:rPr>
                  </w:pPr>
                  <w:r w:rsidRPr="1EB4D28B">
                    <w:rPr>
                      <w:sz w:val="18"/>
                      <w:szCs w:val="18"/>
                    </w:rPr>
                    <w:t>School Gap</w:t>
                  </w:r>
                </w:p>
              </w:tc>
              <w:tc>
                <w:tcPr>
                  <w:tcW w:w="948" w:type="dxa"/>
                  <w:vAlign w:val="bottom"/>
                </w:tcPr>
                <w:p w14:paraId="3A8D4161" w14:textId="3E5789CB" w:rsidR="03DBEEAE" w:rsidRDefault="46FF4514" w:rsidP="1EB4D28B">
                  <w:pPr>
                    <w:jc w:val="center"/>
                    <w:rPr>
                      <w:sz w:val="18"/>
                      <w:szCs w:val="18"/>
                    </w:rPr>
                  </w:pPr>
                  <w:r w:rsidRPr="1EB4D28B">
                    <w:rPr>
                      <w:sz w:val="18"/>
                      <w:szCs w:val="18"/>
                    </w:rPr>
                    <w:t>-3.2</w:t>
                  </w:r>
                  <w:r w:rsidR="6A7B18D9" w:rsidRPr="1EB4D28B">
                    <w:rPr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888" w:type="dxa"/>
                  <w:vAlign w:val="bottom"/>
                </w:tcPr>
                <w:p w14:paraId="758C56EF" w14:textId="34936FE8" w:rsidR="03DBEEAE" w:rsidRDefault="46FF4514" w:rsidP="1EB4D28B">
                  <w:pPr>
                    <w:jc w:val="center"/>
                    <w:rPr>
                      <w:sz w:val="18"/>
                      <w:szCs w:val="18"/>
                    </w:rPr>
                  </w:pPr>
                  <w:r w:rsidRPr="1EB4D28B">
                    <w:rPr>
                      <w:sz w:val="18"/>
                      <w:szCs w:val="18"/>
                    </w:rPr>
                    <w:t>-6.8</w:t>
                  </w:r>
                  <w:r w:rsidR="6FFEF83F" w:rsidRPr="1EB4D28B">
                    <w:rPr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930" w:type="dxa"/>
                  <w:vAlign w:val="bottom"/>
                </w:tcPr>
                <w:p w14:paraId="15AA04B6" w14:textId="48CE993C" w:rsidR="03DBEEAE" w:rsidRDefault="46FF4514" w:rsidP="1EB4D28B">
                  <w:pPr>
                    <w:jc w:val="center"/>
                    <w:rPr>
                      <w:sz w:val="18"/>
                      <w:szCs w:val="18"/>
                    </w:rPr>
                  </w:pPr>
                  <w:r w:rsidRPr="1EB4D28B">
                    <w:rPr>
                      <w:sz w:val="18"/>
                      <w:szCs w:val="18"/>
                    </w:rPr>
                    <w:t>-8.6</w:t>
                  </w:r>
                  <w:r w:rsidR="429A2F57" w:rsidRPr="1EB4D28B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35" w:type="dxa"/>
                  <w:vAlign w:val="bottom"/>
                </w:tcPr>
                <w:p w14:paraId="4EFC855E" w14:textId="6FDDA713" w:rsidR="03DBEEAE" w:rsidRDefault="46FF4514" w:rsidP="1EB4D28B">
                  <w:pPr>
                    <w:jc w:val="center"/>
                    <w:rPr>
                      <w:sz w:val="18"/>
                      <w:szCs w:val="18"/>
                    </w:rPr>
                  </w:pPr>
                  <w:r w:rsidRPr="1EB4D28B">
                    <w:rPr>
                      <w:sz w:val="18"/>
                      <w:szCs w:val="18"/>
                    </w:rPr>
                    <w:t>-9.3</w:t>
                  </w:r>
                  <w:r w:rsidR="78EC8CD9" w:rsidRPr="1EB4D28B">
                    <w:rPr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999" w:type="dxa"/>
                  <w:vAlign w:val="bottom"/>
                </w:tcPr>
                <w:p w14:paraId="158424F7" w14:textId="40E9ED97" w:rsidR="03DBEEAE" w:rsidRDefault="46FF4514" w:rsidP="1EB4D28B">
                  <w:pPr>
                    <w:jc w:val="center"/>
                    <w:rPr>
                      <w:sz w:val="18"/>
                      <w:szCs w:val="18"/>
                    </w:rPr>
                  </w:pPr>
                  <w:r w:rsidRPr="1EB4D28B">
                    <w:rPr>
                      <w:sz w:val="18"/>
                      <w:szCs w:val="18"/>
                    </w:rPr>
                    <w:t>-11.1</w:t>
                  </w:r>
                </w:p>
              </w:tc>
              <w:tc>
                <w:tcPr>
                  <w:tcW w:w="966" w:type="dxa"/>
                  <w:vAlign w:val="bottom"/>
                </w:tcPr>
                <w:p w14:paraId="1DD8A0CA" w14:textId="6DF1A1B8" w:rsidR="03DBEEAE" w:rsidRDefault="46FF4514" w:rsidP="1EB4D28B">
                  <w:pPr>
                    <w:jc w:val="center"/>
                    <w:rPr>
                      <w:sz w:val="18"/>
                      <w:szCs w:val="18"/>
                    </w:rPr>
                  </w:pPr>
                  <w:r w:rsidRPr="1EB4D28B">
                    <w:rPr>
                      <w:sz w:val="18"/>
                      <w:szCs w:val="18"/>
                    </w:rPr>
                    <w:t>-0.74</w:t>
                  </w:r>
                </w:p>
              </w:tc>
              <w:tc>
                <w:tcPr>
                  <w:tcW w:w="966" w:type="dxa"/>
                  <w:vAlign w:val="bottom"/>
                </w:tcPr>
                <w:p w14:paraId="15FF49CF" w14:textId="0CA9E228" w:rsidR="775345B1" w:rsidRDefault="775345B1" w:rsidP="1EB4D28B">
                  <w:pPr>
                    <w:jc w:val="center"/>
                    <w:rPr>
                      <w:sz w:val="18"/>
                      <w:szCs w:val="18"/>
                    </w:rPr>
                  </w:pPr>
                  <w:r w:rsidRPr="1EB4D28B">
                    <w:rPr>
                      <w:sz w:val="18"/>
                      <w:szCs w:val="18"/>
                    </w:rPr>
                    <w:t>-13.5</w:t>
                  </w:r>
                </w:p>
              </w:tc>
              <w:tc>
                <w:tcPr>
                  <w:tcW w:w="966" w:type="dxa"/>
                  <w:vAlign w:val="bottom"/>
                </w:tcPr>
                <w:p w14:paraId="70F0154D" w14:textId="3357BEE0" w:rsidR="58D367DD" w:rsidRDefault="775345B1" w:rsidP="1EB4D28B">
                  <w:pPr>
                    <w:jc w:val="center"/>
                    <w:rPr>
                      <w:sz w:val="18"/>
                      <w:szCs w:val="18"/>
                    </w:rPr>
                  </w:pPr>
                  <w:r w:rsidRPr="1EB4D28B">
                    <w:rPr>
                      <w:sz w:val="18"/>
                      <w:szCs w:val="18"/>
                    </w:rPr>
                    <w:t>-0.77</w:t>
                  </w:r>
                </w:p>
              </w:tc>
            </w:tr>
          </w:tbl>
          <w:p w14:paraId="0FBA97A6" w14:textId="3F3FBD74" w:rsidR="00D95EBB" w:rsidRPr="002046CC" w:rsidRDefault="00D95EBB" w:rsidP="7871C2AD">
            <w:pPr>
              <w:suppressAutoHyphens w:val="0"/>
              <w:autoSpaceDN/>
              <w:spacing w:after="0" w:line="240" w:lineRule="auto"/>
            </w:pPr>
          </w:p>
          <w:p w14:paraId="60BCB427" w14:textId="1ABF518E" w:rsidR="5760111E" w:rsidRDefault="5760111E" w:rsidP="1EB4D28B">
            <w:pPr>
              <w:spacing w:after="0" w:line="240" w:lineRule="auto"/>
              <w:rPr>
                <w:color w:val="auto"/>
                <w:lang w:eastAsia="en-US"/>
              </w:rPr>
            </w:pPr>
            <w:r w:rsidRPr="1EB4D28B">
              <w:rPr>
                <w:color w:val="auto"/>
                <w:lang w:eastAsia="en-US"/>
              </w:rPr>
              <w:lastRenderedPageBreak/>
              <w:t>In Year 7 to 9 disadvantaged children</w:t>
            </w:r>
            <w:r w:rsidR="105943A1" w:rsidRPr="1EB4D28B">
              <w:rPr>
                <w:color w:val="auto"/>
                <w:lang w:eastAsia="en-US"/>
              </w:rPr>
              <w:t>’s current attainment meets expectations</w:t>
            </w:r>
            <w:r w:rsidR="073C77A0" w:rsidRPr="1EB4D28B">
              <w:rPr>
                <w:color w:val="auto"/>
                <w:lang w:eastAsia="en-US"/>
              </w:rPr>
              <w:t>,</w:t>
            </w:r>
            <w:r w:rsidR="105943A1" w:rsidRPr="1EB4D28B">
              <w:rPr>
                <w:color w:val="auto"/>
                <w:lang w:eastAsia="en-US"/>
              </w:rPr>
              <w:t xml:space="preserve"> Av Att rank &gt;30%.</w:t>
            </w:r>
          </w:p>
          <w:p w14:paraId="6744729F" w14:textId="76740864" w:rsidR="00D95EBB" w:rsidRDefault="00D95EBB" w:rsidP="7871C2AD">
            <w:pPr>
              <w:suppressAutoHyphens w:val="0"/>
              <w:autoSpaceDN/>
              <w:spacing w:after="0" w:line="240" w:lineRule="auto"/>
              <w:rPr>
                <w:color w:val="auto"/>
                <w:lang w:eastAsia="en-US"/>
              </w:rPr>
            </w:pPr>
          </w:p>
          <w:p w14:paraId="0458838A" w14:textId="7BEAE393" w:rsidR="00D95EBB" w:rsidRDefault="3566582E" w:rsidP="00D95EBB">
            <w:pPr>
              <w:suppressAutoHyphens w:val="0"/>
              <w:autoSpaceDN/>
              <w:spacing w:after="0" w:line="240" w:lineRule="auto"/>
              <w:rPr>
                <w:color w:val="auto"/>
                <w:lang w:eastAsia="en-US"/>
              </w:rPr>
            </w:pPr>
            <w:r w:rsidRPr="1EB4D28B">
              <w:rPr>
                <w:color w:val="auto"/>
                <w:lang w:eastAsia="en-US"/>
              </w:rPr>
              <w:t xml:space="preserve">EBacc entry for disadvantaged pupils was </w:t>
            </w:r>
            <w:r w:rsidR="4D2285C5" w:rsidRPr="1EB4D28B">
              <w:rPr>
                <w:color w:val="auto"/>
                <w:lang w:eastAsia="en-US"/>
              </w:rPr>
              <w:t>60.3</w:t>
            </w:r>
            <w:r w:rsidRPr="1EB4D28B">
              <w:rPr>
                <w:color w:val="auto"/>
                <w:lang w:eastAsia="en-US"/>
              </w:rPr>
              <w:t xml:space="preserve">%, higher than in the previous </w:t>
            </w:r>
            <w:r w:rsidR="56A97B1A" w:rsidRPr="1EB4D28B">
              <w:rPr>
                <w:color w:val="auto"/>
                <w:lang w:eastAsia="en-US"/>
              </w:rPr>
              <w:t>3</w:t>
            </w:r>
            <w:r w:rsidRPr="1EB4D28B">
              <w:rPr>
                <w:color w:val="auto"/>
                <w:lang w:eastAsia="en-US"/>
              </w:rPr>
              <w:t xml:space="preserve"> years.</w:t>
            </w:r>
          </w:p>
          <w:p w14:paraId="73B36933" w14:textId="6E94A420" w:rsidR="7871C2AD" w:rsidRDefault="7871C2AD" w:rsidP="1EB4D28B">
            <w:pPr>
              <w:spacing w:after="0" w:line="240" w:lineRule="auto"/>
              <w:rPr>
                <w:color w:val="auto"/>
                <w:lang w:eastAsia="en-US"/>
              </w:rPr>
            </w:pPr>
          </w:p>
          <w:p w14:paraId="4410CC69" w14:textId="08C8FA8C" w:rsidR="7871C2AD" w:rsidRDefault="34D461EF" w:rsidP="1EB4D28B">
            <w:pPr>
              <w:spacing w:after="0" w:line="240" w:lineRule="auto"/>
              <w:rPr>
                <w:color w:val="auto"/>
                <w:lang w:eastAsia="en-US"/>
              </w:rPr>
            </w:pPr>
            <w:r w:rsidRPr="1EB4D28B">
              <w:rPr>
                <w:color w:val="auto"/>
                <w:lang w:eastAsia="en-US"/>
              </w:rPr>
              <w:t xml:space="preserve">66% of disadvantaged pupils who took part in the NTP met or exceeded their target grade in their GCSE English Language, whilst 20% of these students achieved 1 or more grade above Cycle 3 data in Y10. In English Literature, 44% met or exceeded their Cycle 3 data in Y10, whilst 33% of students achieved 1 or more grade above target.  Similarly, in Maths, 61% of </w:t>
            </w:r>
            <w:r w:rsidR="1760C74A" w:rsidRPr="1EB4D28B">
              <w:rPr>
                <w:color w:val="auto"/>
                <w:lang w:eastAsia="en-US"/>
              </w:rPr>
              <w:t>pupil</w:t>
            </w:r>
            <w:r w:rsidRPr="1EB4D28B">
              <w:rPr>
                <w:color w:val="auto"/>
                <w:lang w:eastAsia="en-US"/>
              </w:rPr>
              <w:t xml:space="preserve">s receiving tuition met or exceeded their Cycle 3 data in Y10, </w:t>
            </w:r>
            <w:r w:rsidR="4714B552" w:rsidRPr="1EB4D28B">
              <w:rPr>
                <w:color w:val="auto"/>
                <w:lang w:eastAsia="en-US"/>
              </w:rPr>
              <w:t>with</w:t>
            </w:r>
            <w:r w:rsidRPr="1EB4D28B">
              <w:rPr>
                <w:color w:val="auto"/>
                <w:lang w:eastAsia="en-US"/>
              </w:rPr>
              <w:t xml:space="preserve"> 33% achiev</w:t>
            </w:r>
            <w:r w:rsidR="3F1590F5" w:rsidRPr="1EB4D28B">
              <w:rPr>
                <w:color w:val="auto"/>
                <w:lang w:eastAsia="en-US"/>
              </w:rPr>
              <w:t>ing</w:t>
            </w:r>
            <w:r w:rsidRPr="1EB4D28B">
              <w:rPr>
                <w:color w:val="auto"/>
                <w:lang w:eastAsia="en-US"/>
              </w:rPr>
              <w:t xml:space="preserve"> 1 or more grade above target.</w:t>
            </w:r>
          </w:p>
          <w:p w14:paraId="4544A69C" w14:textId="51BBF5C1" w:rsidR="7871C2AD" w:rsidRDefault="7871C2AD" w:rsidP="1EB4D28B">
            <w:pPr>
              <w:spacing w:after="0" w:line="240" w:lineRule="auto"/>
              <w:rPr>
                <w:color w:val="auto"/>
                <w:lang w:eastAsia="en-US"/>
              </w:rPr>
            </w:pPr>
          </w:p>
          <w:p w14:paraId="2896A444" w14:textId="5E4AB55E" w:rsidR="00DF2F31" w:rsidRDefault="51D6C39D" w:rsidP="7871C2AD">
            <w:pPr>
              <w:spacing w:after="0" w:line="240" w:lineRule="auto"/>
              <w:rPr>
                <w:color w:val="auto"/>
                <w:lang w:eastAsia="en-US"/>
              </w:rPr>
            </w:pPr>
            <w:r w:rsidRPr="1EB4D28B">
              <w:rPr>
                <w:color w:val="auto"/>
                <w:lang w:eastAsia="en-US"/>
              </w:rPr>
              <w:t xml:space="preserve">The overall absent rate (all through) 12.6%. However, disadvantaged </w:t>
            </w:r>
            <w:r w:rsidR="768B4A7A" w:rsidRPr="1EB4D28B">
              <w:rPr>
                <w:color w:val="auto"/>
                <w:lang w:eastAsia="en-US"/>
              </w:rPr>
              <w:t>pupil</w:t>
            </w:r>
            <w:r w:rsidRPr="1EB4D28B">
              <w:rPr>
                <w:color w:val="auto"/>
                <w:lang w:eastAsia="en-US"/>
              </w:rPr>
              <w:t>s have an average absent rate of 1</w:t>
            </w:r>
            <w:r w:rsidR="1C762B5A" w:rsidRPr="1EB4D28B">
              <w:rPr>
                <w:color w:val="auto"/>
                <w:lang w:eastAsia="en-US"/>
              </w:rPr>
              <w:t>6</w:t>
            </w:r>
            <w:r w:rsidRPr="1EB4D28B">
              <w:rPr>
                <w:color w:val="auto"/>
                <w:lang w:eastAsia="en-US"/>
              </w:rPr>
              <w:t>.</w:t>
            </w:r>
            <w:r w:rsidR="2B02F69C" w:rsidRPr="1EB4D28B">
              <w:rPr>
                <w:color w:val="auto"/>
                <w:lang w:eastAsia="en-US"/>
              </w:rPr>
              <w:t>9</w:t>
            </w:r>
            <w:r w:rsidRPr="1EB4D28B">
              <w:rPr>
                <w:color w:val="auto"/>
                <w:lang w:eastAsia="en-US"/>
              </w:rPr>
              <w:t xml:space="preserve">%. Persistent absence currently stands at </w:t>
            </w:r>
            <w:r w:rsidR="70D6D855" w:rsidRPr="1EB4D28B">
              <w:rPr>
                <w:color w:val="auto"/>
                <w:lang w:eastAsia="en-US"/>
              </w:rPr>
              <w:t>46.1</w:t>
            </w:r>
            <w:r w:rsidRPr="1EB4D28B">
              <w:rPr>
                <w:color w:val="auto"/>
                <w:lang w:eastAsia="en-US"/>
              </w:rPr>
              <w:t>%.</w:t>
            </w:r>
            <w:r w:rsidR="7CF945FA" w:rsidRPr="1EB4D28B">
              <w:rPr>
                <w:color w:val="auto"/>
                <w:lang w:eastAsia="en-US"/>
              </w:rPr>
              <w:t xml:space="preserve"> A robust attendance st</w:t>
            </w:r>
            <w:r w:rsidR="5A8907FF" w:rsidRPr="1EB4D28B">
              <w:rPr>
                <w:color w:val="auto"/>
                <w:lang w:eastAsia="en-US"/>
              </w:rPr>
              <w:t>rategy is now in place.</w:t>
            </w:r>
          </w:p>
          <w:p w14:paraId="6C2A40DA" w14:textId="7D13C81C" w:rsidR="7871C2AD" w:rsidRDefault="7871C2AD" w:rsidP="7871C2AD">
            <w:pPr>
              <w:spacing w:after="0" w:line="240" w:lineRule="auto"/>
              <w:rPr>
                <w:color w:val="auto"/>
                <w:lang w:eastAsia="en-US"/>
              </w:rPr>
            </w:pPr>
          </w:p>
          <w:p w14:paraId="616EA49E" w14:textId="561759D8" w:rsidR="6812E467" w:rsidRDefault="6812E467" w:rsidP="1EB4D28B">
            <w:pPr>
              <w:spacing w:after="0" w:line="240" w:lineRule="auto"/>
              <w:rPr>
                <w:color w:val="auto"/>
                <w:lang w:eastAsia="en-US"/>
              </w:rPr>
            </w:pPr>
            <w:r w:rsidRPr="1EB4D28B">
              <w:rPr>
                <w:color w:val="auto"/>
                <w:lang w:eastAsia="en-US"/>
              </w:rPr>
              <w:t xml:space="preserve">The number of behaviour events per disadvantaged pupils remained under 5 </w:t>
            </w:r>
            <w:r w:rsidR="158D9E97" w:rsidRPr="1EB4D28B">
              <w:rPr>
                <w:color w:val="auto"/>
                <w:lang w:eastAsia="en-US"/>
              </w:rPr>
              <w:t>across the cycles</w:t>
            </w:r>
            <w:r w:rsidR="694DBC8A" w:rsidRPr="1EB4D28B">
              <w:rPr>
                <w:color w:val="auto"/>
                <w:lang w:eastAsia="en-US"/>
              </w:rPr>
              <w:t xml:space="preserve">, with a 22.7 % reduction in ‘Always </w:t>
            </w:r>
            <w:r w:rsidR="78D11EEF" w:rsidRPr="1EB4D28B">
              <w:rPr>
                <w:color w:val="auto"/>
                <w:lang w:eastAsia="en-US"/>
              </w:rPr>
              <w:t xml:space="preserve">on </w:t>
            </w:r>
            <w:r w:rsidR="694DBC8A" w:rsidRPr="1EB4D28B">
              <w:rPr>
                <w:color w:val="auto"/>
                <w:lang w:eastAsia="en-US"/>
              </w:rPr>
              <w:t>task’ logs</w:t>
            </w:r>
            <w:r w:rsidR="3AA232C6" w:rsidRPr="1EB4D28B">
              <w:rPr>
                <w:color w:val="auto"/>
                <w:lang w:eastAsia="en-US"/>
              </w:rPr>
              <w:t>.</w:t>
            </w:r>
          </w:p>
          <w:p w14:paraId="58688C63" w14:textId="4388717E" w:rsidR="6812E467" w:rsidRDefault="6812E467" w:rsidP="1EB4D28B">
            <w:pPr>
              <w:spacing w:after="0" w:line="240" w:lineRule="auto"/>
              <w:rPr>
                <w:color w:val="auto"/>
                <w:lang w:eastAsia="en-US"/>
              </w:rPr>
            </w:pPr>
            <w:r w:rsidRPr="1EB4D28B">
              <w:rPr>
                <w:color w:val="auto"/>
                <w:lang w:eastAsia="en-US"/>
              </w:rPr>
              <w:t xml:space="preserve"> </w:t>
            </w:r>
          </w:p>
          <w:p w14:paraId="4926476A" w14:textId="4D5B168D" w:rsidR="00DF2F31" w:rsidRDefault="51D6C39D" w:rsidP="7871C2AD">
            <w:pPr>
              <w:spacing w:after="0"/>
            </w:pPr>
            <w:r>
              <w:t xml:space="preserve">Two safeguarding officers have been appointed to respond to individual concerns, as well as managing more complex cases from disclosure to resolution. Workshops run for vulnerable groups of </w:t>
            </w:r>
            <w:r w:rsidR="540429A3">
              <w:t>pupils</w:t>
            </w:r>
            <w:r>
              <w:t xml:space="preserve"> on issues such as CSE, low self-esteem and anxiety.</w:t>
            </w:r>
          </w:p>
          <w:p w14:paraId="668D09FF" w14:textId="4A659BBF" w:rsidR="7871C2AD" w:rsidRDefault="7871C2AD" w:rsidP="7871C2AD">
            <w:pPr>
              <w:spacing w:after="0"/>
            </w:pPr>
          </w:p>
          <w:p w14:paraId="1EBF3BA4" w14:textId="0ED33619" w:rsidR="00DF2F31" w:rsidRDefault="00DF2F31" w:rsidP="7871C2AD">
            <w:pPr>
              <w:spacing w:after="0" w:line="240" w:lineRule="auto"/>
            </w:pPr>
            <w:r>
              <w:t>All year managers and safeguarding officers are now trained as EH lead practitioners.</w:t>
            </w:r>
          </w:p>
          <w:p w14:paraId="37326E98" w14:textId="2AC5C8CF" w:rsidR="7871C2AD" w:rsidRDefault="7871C2AD" w:rsidP="7871C2AD">
            <w:pPr>
              <w:spacing w:after="0" w:line="240" w:lineRule="auto"/>
              <w:rPr>
                <w:color w:val="auto"/>
                <w:lang w:eastAsia="en-US"/>
              </w:rPr>
            </w:pPr>
          </w:p>
          <w:p w14:paraId="20967DA5" w14:textId="01EB35EE" w:rsidR="1673ECB6" w:rsidRDefault="3A959A85" w:rsidP="7871C2AD">
            <w:pPr>
              <w:spacing w:after="0" w:line="240" w:lineRule="auto"/>
              <w:rPr>
                <w:color w:val="auto"/>
                <w:lang w:eastAsia="en-US"/>
              </w:rPr>
            </w:pPr>
            <w:r w:rsidRPr="1EB4D28B">
              <w:rPr>
                <w:color w:val="auto"/>
                <w:lang w:eastAsia="en-US"/>
              </w:rPr>
              <w:t xml:space="preserve">There is a </w:t>
            </w:r>
            <w:proofErr w:type="gramStart"/>
            <w:r w:rsidRPr="1EB4D28B">
              <w:rPr>
                <w:color w:val="auto"/>
                <w:lang w:eastAsia="en-US"/>
              </w:rPr>
              <w:t>three year</w:t>
            </w:r>
            <w:proofErr w:type="gramEnd"/>
            <w:r w:rsidRPr="1EB4D28B">
              <w:rPr>
                <w:color w:val="auto"/>
                <w:lang w:eastAsia="en-US"/>
              </w:rPr>
              <w:t xml:space="preserve"> long programme of training for staff with fortnightly sessions delivered on the specific categories identified by KCSIE 22. As a result, there has been an increase in staff referrals around </w:t>
            </w:r>
            <w:r w:rsidR="154A9D7C" w:rsidRPr="1EB4D28B">
              <w:rPr>
                <w:color w:val="auto"/>
                <w:lang w:eastAsia="en-US"/>
              </w:rPr>
              <w:t>children's</w:t>
            </w:r>
            <w:r w:rsidRPr="1EB4D28B">
              <w:rPr>
                <w:color w:val="auto"/>
                <w:lang w:eastAsia="en-US"/>
              </w:rPr>
              <w:t xml:space="preserve"> wellbeing and strategies deployed to support </w:t>
            </w:r>
            <w:r w:rsidR="25843BB4" w:rsidRPr="1EB4D28B">
              <w:rPr>
                <w:color w:val="auto"/>
                <w:lang w:eastAsia="en-US"/>
              </w:rPr>
              <w:t>them</w:t>
            </w:r>
            <w:r w:rsidRPr="1EB4D28B">
              <w:rPr>
                <w:color w:val="auto"/>
                <w:lang w:eastAsia="en-US"/>
              </w:rPr>
              <w:t>.</w:t>
            </w:r>
          </w:p>
          <w:p w14:paraId="52BAFC81" w14:textId="77777777" w:rsidR="00D95EBB" w:rsidRDefault="00D95EBB" w:rsidP="00D95EBB">
            <w:pPr>
              <w:suppressAutoHyphens w:val="0"/>
              <w:autoSpaceDN/>
              <w:spacing w:after="0" w:line="240" w:lineRule="auto"/>
              <w:rPr>
                <w:color w:val="auto"/>
                <w:lang w:eastAsia="en-US"/>
              </w:rPr>
            </w:pPr>
          </w:p>
          <w:p w14:paraId="432E0C04" w14:textId="0A14EE94" w:rsidR="00702C09" w:rsidRPr="00C85318" w:rsidRDefault="4E2D9334" w:rsidP="00D1001B">
            <w:pPr>
              <w:spacing w:after="0"/>
            </w:pPr>
            <w:r>
              <w:t>Last academic year was the first uninterrupted academic year since before the pandemic. In the year before the pandemic, there were 500 CPOMs entries logged. Last year there were 5,000</w:t>
            </w:r>
            <w:r w:rsidR="12B4DCA8">
              <w:t xml:space="preserve"> of which 6</w:t>
            </w:r>
            <w:r w:rsidR="3DCB39F7">
              <w:t>2%</w:t>
            </w:r>
            <w:r w:rsidR="3B15045A">
              <w:t xml:space="preserve"> were for</w:t>
            </w:r>
            <w:r w:rsidR="3DCB39F7">
              <w:t xml:space="preserve"> disadvantaged</w:t>
            </w:r>
            <w:r w:rsidR="26B07199">
              <w:t xml:space="preserve"> children</w:t>
            </w:r>
            <w:r>
              <w:t>. This increase is due to the increased need in the community post pandemic. It is also due to the increased training of staff and greater awareness of safeguarding issues</w:t>
            </w:r>
            <w:r w:rsidR="4BEF1FE4">
              <w:t>.</w:t>
            </w:r>
          </w:p>
          <w:p w14:paraId="698CEB2C" w14:textId="54242ED8" w:rsidR="00702C09" w:rsidRPr="00C85318" w:rsidRDefault="00702C09" w:rsidP="7871C2AD">
            <w:pPr>
              <w:spacing w:after="0"/>
            </w:pPr>
          </w:p>
          <w:p w14:paraId="1365EB68" w14:textId="615D31EB" w:rsidR="00702C09" w:rsidRPr="00C85318" w:rsidRDefault="557FCF64" w:rsidP="7871C2AD">
            <w:pPr>
              <w:spacing w:after="0"/>
            </w:pPr>
            <w:r>
              <w:t xml:space="preserve">An all through PSHCE lead has been appointed and weekly sessions </w:t>
            </w:r>
            <w:r w:rsidR="1D19F73F">
              <w:t xml:space="preserve">are delivered in </w:t>
            </w:r>
            <w:r w:rsidR="35C60B8B">
              <w:t>Collective</w:t>
            </w:r>
            <w:r w:rsidR="39DE90B6">
              <w:t xml:space="preserve"> Lear</w:t>
            </w:r>
            <w:r w:rsidR="631B03FF">
              <w:t>n</w:t>
            </w:r>
            <w:r w:rsidR="39DE90B6">
              <w:t>ing</w:t>
            </w:r>
            <w:r w:rsidR="71326209">
              <w:t>. Th</w:t>
            </w:r>
            <w:r w:rsidR="71DDD46C">
              <w:t>e r</w:t>
            </w:r>
            <w:r w:rsidR="4BEF1FE4">
              <w:t xml:space="preserve">ecent pandemic has presented an increase in recorded DA notifications, social media conflicts between peers, low mood, </w:t>
            </w:r>
            <w:proofErr w:type="gramStart"/>
            <w:r w:rsidR="4BEF1FE4">
              <w:t>anxiety</w:t>
            </w:r>
            <w:proofErr w:type="gramEnd"/>
            <w:r w:rsidR="4BEF1FE4">
              <w:t xml:space="preserve"> and self-esteem. This has frequently come </w:t>
            </w:r>
            <w:proofErr w:type="gramStart"/>
            <w:r w:rsidR="4BEF1FE4">
              <w:t>as a result of</w:t>
            </w:r>
            <w:proofErr w:type="gramEnd"/>
            <w:r w:rsidR="4BEF1FE4">
              <w:t xml:space="preserve"> </w:t>
            </w:r>
            <w:r w:rsidR="3C2740E3">
              <w:t>pupil</w:t>
            </w:r>
            <w:r w:rsidR="4BEF1FE4">
              <w:t xml:space="preserve">’s greater awareness of issues due to the PSHCE curriculum. </w:t>
            </w:r>
          </w:p>
          <w:p w14:paraId="6301E454" w14:textId="4E139E2B" w:rsidR="00702C09" w:rsidRPr="00C85318" w:rsidRDefault="00702C09" w:rsidP="7871C2AD">
            <w:pPr>
              <w:spacing w:after="0"/>
            </w:pPr>
          </w:p>
          <w:p w14:paraId="561B50E3" w14:textId="3A950033" w:rsidR="00702C09" w:rsidRPr="00C85318" w:rsidRDefault="5BAC0218" w:rsidP="7871C2AD">
            <w:pPr>
              <w:spacing w:after="0"/>
            </w:pPr>
            <w:r>
              <w:t>There are now designated ‘weeks’ across the school year where daily assemblies are delivered on issues such as equality, illegal activity, bullying, and healthy relationships.</w:t>
            </w:r>
          </w:p>
          <w:p w14:paraId="67D01EA6" w14:textId="1A81E9DF" w:rsidR="00702C09" w:rsidRPr="00C85318" w:rsidRDefault="00702C09" w:rsidP="7871C2AD">
            <w:pPr>
              <w:spacing w:after="0"/>
            </w:pPr>
          </w:p>
          <w:p w14:paraId="2A7D5546" w14:textId="662C7CF9" w:rsidR="00702C09" w:rsidRPr="00C85318" w:rsidRDefault="523CDDBE" w:rsidP="7871C2AD">
            <w:pPr>
              <w:spacing w:after="0"/>
            </w:pPr>
            <w:r>
              <w:t xml:space="preserve">Early Help numbers have increased in the last year, whilst the number of </w:t>
            </w:r>
            <w:r w:rsidR="2ABB5F4D">
              <w:t>pupil</w:t>
            </w:r>
            <w:r>
              <w:t xml:space="preserve">s subject to a CP or CIN plan has dropped from approximately 35 at the start of 21/22 to 15 at </w:t>
            </w:r>
            <w:r>
              <w:lastRenderedPageBreak/>
              <w:t xml:space="preserve">the start of 22/23. The number of EH has increased from 4 to 10 during the same </w:t>
            </w:r>
            <w:proofErr w:type="gramStart"/>
            <w:r>
              <w:t>time period</w:t>
            </w:r>
            <w:proofErr w:type="gramEnd"/>
            <w:r>
              <w:t>.</w:t>
            </w:r>
          </w:p>
        </w:tc>
      </w:tr>
    </w:tbl>
    <w:p w14:paraId="2A7D5548" w14:textId="77777777" w:rsidR="00E66558" w:rsidRDefault="009D71E8">
      <w:pPr>
        <w:pStyle w:val="Heading2"/>
        <w:spacing w:before="600"/>
      </w:pPr>
      <w:r>
        <w:lastRenderedPageBreak/>
        <w:t>Externally provided programmes</w:t>
      </w:r>
    </w:p>
    <w:p w14:paraId="2A7D5549" w14:textId="77777777" w:rsidR="00E66558" w:rsidRDefault="009D71E8">
      <w:pPr>
        <w:rPr>
          <w:i/>
          <w:iCs/>
        </w:rPr>
      </w:pPr>
      <w:r>
        <w:rPr>
          <w:i/>
          <w:iCs/>
        </w:rPr>
        <w:t>Please include the names of any non-DfE programmes that you purchased in the previous academic year. This will help the Department for Education identify which ones are popular in England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671"/>
      </w:tblGrid>
      <w:tr w:rsidR="00E66558" w14:paraId="2A7D554C" w14:textId="77777777" w:rsidTr="7871C2AD"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A" w14:textId="77777777" w:rsidR="00E66558" w:rsidRDefault="009D71E8">
            <w:pPr>
              <w:pStyle w:val="TableHeader"/>
              <w:jc w:val="left"/>
            </w:pPr>
            <w:r>
              <w:t>Programme</w:t>
            </w:r>
          </w:p>
        </w:tc>
        <w:tc>
          <w:tcPr>
            <w:tcW w:w="4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B" w14:textId="77777777" w:rsidR="00E66558" w:rsidRDefault="009D71E8">
            <w:pPr>
              <w:pStyle w:val="TableHeader"/>
              <w:jc w:val="left"/>
            </w:pPr>
            <w:r>
              <w:t>Provider</w:t>
            </w:r>
          </w:p>
        </w:tc>
      </w:tr>
      <w:tr w:rsidR="00E66558" w14:paraId="2A7D554F" w14:textId="77777777" w:rsidTr="7871C2AD"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D" w14:textId="4EC32225" w:rsidR="00E66558" w:rsidRDefault="005C1FBB">
            <w:pPr>
              <w:pStyle w:val="TableRow"/>
            </w:pPr>
            <w:r>
              <w:t>Boxhall Profile</w:t>
            </w:r>
          </w:p>
        </w:tc>
        <w:tc>
          <w:tcPr>
            <w:tcW w:w="4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E" w14:textId="4F85FE78" w:rsidR="00E66558" w:rsidRDefault="00D90CE9">
            <w:pPr>
              <w:pStyle w:val="TableRowCentered"/>
              <w:jc w:val="left"/>
            </w:pPr>
            <w:r>
              <w:t>Nurtureuk</w:t>
            </w:r>
          </w:p>
        </w:tc>
      </w:tr>
      <w:tr w:rsidR="00E66558" w14:paraId="2A7D5552" w14:textId="77777777" w:rsidTr="7871C2AD"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0" w14:textId="43A2F466" w:rsidR="00E66558" w:rsidRDefault="00F7368B">
            <w:pPr>
              <w:pStyle w:val="TableRow"/>
            </w:pPr>
            <w:r>
              <w:t>Times Table Rockstars</w:t>
            </w:r>
          </w:p>
        </w:tc>
        <w:tc>
          <w:tcPr>
            <w:tcW w:w="4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1" w14:textId="578068BA" w:rsidR="00E66558" w:rsidRDefault="00352462">
            <w:pPr>
              <w:pStyle w:val="TableRowCentered"/>
              <w:jc w:val="left"/>
            </w:pPr>
            <w:r>
              <w:t>Maths Circle</w:t>
            </w:r>
          </w:p>
        </w:tc>
      </w:tr>
      <w:tr w:rsidR="00F7368B" w14:paraId="4FBC27A9" w14:textId="77777777" w:rsidTr="7871C2AD"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E08DB" w14:textId="641EC2A2" w:rsidR="00F7368B" w:rsidRDefault="006E0B78">
            <w:pPr>
              <w:pStyle w:val="TableRow"/>
            </w:pPr>
            <w:r>
              <w:t>Mathletics</w:t>
            </w:r>
          </w:p>
        </w:tc>
        <w:tc>
          <w:tcPr>
            <w:tcW w:w="4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6B50B" w14:textId="6845C215" w:rsidR="00F7368B" w:rsidRDefault="00A343DE">
            <w:pPr>
              <w:pStyle w:val="TableRowCentered"/>
              <w:jc w:val="left"/>
            </w:pPr>
            <w:r>
              <w:t>3P Learning</w:t>
            </w:r>
          </w:p>
        </w:tc>
      </w:tr>
      <w:tr w:rsidR="006E0B78" w14:paraId="218531EA" w14:textId="77777777" w:rsidTr="7871C2AD"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A8998" w14:textId="1D24179B" w:rsidR="006E0B78" w:rsidRDefault="006E0B78">
            <w:pPr>
              <w:pStyle w:val="TableRow"/>
            </w:pPr>
            <w:r>
              <w:t>Purple Mash</w:t>
            </w:r>
          </w:p>
        </w:tc>
        <w:tc>
          <w:tcPr>
            <w:tcW w:w="4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D92CB" w14:textId="1B0B5D9A" w:rsidR="006E0B78" w:rsidRDefault="00F43023">
            <w:pPr>
              <w:pStyle w:val="TableRowCentered"/>
              <w:jc w:val="left"/>
            </w:pPr>
            <w:r>
              <w:t>2 Simple</w:t>
            </w:r>
          </w:p>
        </w:tc>
      </w:tr>
      <w:tr w:rsidR="004359E4" w14:paraId="624B29F0" w14:textId="77777777" w:rsidTr="7871C2AD"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C7FA6" w14:textId="0B2413B8" w:rsidR="004359E4" w:rsidRDefault="004359E4">
            <w:pPr>
              <w:pStyle w:val="TableRow"/>
            </w:pPr>
            <w:r>
              <w:t>Small Group Tuition (KS2-</w:t>
            </w:r>
            <w:r w:rsidR="000B0681">
              <w:t>4)</w:t>
            </w:r>
          </w:p>
        </w:tc>
        <w:tc>
          <w:tcPr>
            <w:tcW w:w="4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9ED8E" w14:textId="65365E35" w:rsidR="004359E4" w:rsidRDefault="004359E4">
            <w:pPr>
              <w:pStyle w:val="TableRowCentered"/>
              <w:jc w:val="left"/>
            </w:pPr>
            <w:r>
              <w:t xml:space="preserve">The Tutor Trust </w:t>
            </w:r>
          </w:p>
        </w:tc>
      </w:tr>
      <w:tr w:rsidR="004359E4" w14:paraId="334F3938" w14:textId="77777777" w:rsidTr="7871C2AD"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AE6D1" w14:textId="574BA732" w:rsidR="004359E4" w:rsidRDefault="004359E4">
            <w:pPr>
              <w:pStyle w:val="TableRow"/>
            </w:pPr>
            <w:r>
              <w:t>Small Group Tuition P16</w:t>
            </w:r>
          </w:p>
        </w:tc>
        <w:tc>
          <w:tcPr>
            <w:tcW w:w="4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59C05" w14:textId="05D8F5FE" w:rsidR="004359E4" w:rsidRDefault="004359E4">
            <w:pPr>
              <w:pStyle w:val="TableRowCentered"/>
              <w:jc w:val="left"/>
            </w:pPr>
            <w:r>
              <w:t>The Access Project</w:t>
            </w:r>
          </w:p>
        </w:tc>
      </w:tr>
      <w:tr w:rsidR="00947EAF" w14:paraId="639C932D" w14:textId="77777777" w:rsidTr="7871C2AD"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3F9A6" w14:textId="406055A1" w:rsidR="00947EAF" w:rsidRDefault="7190A98D">
            <w:pPr>
              <w:pStyle w:val="TableRow"/>
            </w:pPr>
            <w:r>
              <w:t>Sparxs</w:t>
            </w:r>
          </w:p>
        </w:tc>
        <w:tc>
          <w:tcPr>
            <w:tcW w:w="4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CF5BF" w14:textId="6F992CA7" w:rsidR="00947EAF" w:rsidRDefault="7190A98D">
            <w:pPr>
              <w:pStyle w:val="TableRowCentered"/>
              <w:jc w:val="left"/>
            </w:pPr>
            <w:r>
              <w:t>Sparx Limited</w:t>
            </w:r>
          </w:p>
        </w:tc>
      </w:tr>
      <w:tr w:rsidR="005C1F41" w14:paraId="76FB31EA" w14:textId="77777777" w:rsidTr="7871C2AD"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F858E" w14:textId="328CD04B" w:rsidR="005C1F41" w:rsidRDefault="005C1F41">
            <w:pPr>
              <w:pStyle w:val="TableRow"/>
            </w:pPr>
            <w:r>
              <w:t xml:space="preserve">Speech and Language </w:t>
            </w:r>
            <w:r w:rsidR="00186B1C">
              <w:t>Therapy</w:t>
            </w:r>
          </w:p>
        </w:tc>
        <w:tc>
          <w:tcPr>
            <w:tcW w:w="4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3720D" w14:textId="0EAC4A02" w:rsidR="005C1F41" w:rsidRDefault="005C1F41">
            <w:pPr>
              <w:pStyle w:val="TableRowCentered"/>
              <w:jc w:val="left"/>
            </w:pPr>
            <w:r>
              <w:t>Bradford NHS</w:t>
            </w:r>
          </w:p>
        </w:tc>
      </w:tr>
      <w:tr w:rsidR="00384E66" w14:paraId="0A8B9904" w14:textId="77777777" w:rsidTr="7871C2AD"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A0018" w14:textId="48B93703" w:rsidR="00384E66" w:rsidRDefault="0023487D">
            <w:pPr>
              <w:pStyle w:val="TableRow"/>
            </w:pPr>
            <w:r>
              <w:t>ActiveLearn</w:t>
            </w:r>
          </w:p>
        </w:tc>
        <w:tc>
          <w:tcPr>
            <w:tcW w:w="4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269A4" w14:textId="6225A64D" w:rsidR="00384E66" w:rsidRDefault="0023487D">
            <w:pPr>
              <w:pStyle w:val="TableRowCentered"/>
              <w:jc w:val="left"/>
            </w:pPr>
            <w:r>
              <w:t>Pearson</w:t>
            </w:r>
          </w:p>
        </w:tc>
      </w:tr>
      <w:bookmarkEnd w:id="14"/>
      <w:bookmarkEnd w:id="15"/>
      <w:bookmarkEnd w:id="16"/>
    </w:tbl>
    <w:p w14:paraId="2A7D5564" w14:textId="77777777" w:rsidR="00E66558" w:rsidRDefault="00E66558"/>
    <w:sectPr w:rsidR="00E66558">
      <w:headerReference w:type="default" r:id="rId34"/>
      <w:footerReference w:type="default" r:id="rId35"/>
      <w:pgSz w:w="11906" w:h="16838"/>
      <w:pgMar w:top="1134" w:right="1276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21622" w14:textId="77777777" w:rsidR="00F50F81" w:rsidRDefault="00F50F81">
      <w:pPr>
        <w:spacing w:after="0" w:line="240" w:lineRule="auto"/>
      </w:pPr>
      <w:r>
        <w:separator/>
      </w:r>
    </w:p>
  </w:endnote>
  <w:endnote w:type="continuationSeparator" w:id="0">
    <w:p w14:paraId="6A9BD2BF" w14:textId="77777777" w:rsidR="00F50F81" w:rsidRDefault="00F50F81">
      <w:pPr>
        <w:spacing w:after="0" w:line="240" w:lineRule="auto"/>
      </w:pPr>
      <w:r>
        <w:continuationSeparator/>
      </w:r>
    </w:p>
  </w:endnote>
  <w:endnote w:type="continuationNotice" w:id="1">
    <w:p w14:paraId="0FCE7F1B" w14:textId="77777777" w:rsidR="00F50F81" w:rsidRDefault="00F50F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D54BE" w14:textId="77777777" w:rsidR="00916FDE" w:rsidRDefault="009D71E8">
    <w:pPr>
      <w:pStyle w:val="Footer"/>
      <w:ind w:firstLine="4513"/>
    </w:pPr>
    <w:r>
      <w:fldChar w:fldCharType="begin"/>
    </w:r>
    <w:r>
      <w:instrText xml:space="preserve"> PAGE </w:instrText>
    </w:r>
    <w:r>
      <w:fldChar w:fldCharType="separate"/>
    </w:r>
    <w: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7835E" w14:textId="77777777" w:rsidR="00F50F81" w:rsidRDefault="00F50F81">
      <w:pPr>
        <w:spacing w:after="0" w:line="240" w:lineRule="auto"/>
      </w:pPr>
      <w:r>
        <w:separator/>
      </w:r>
    </w:p>
  </w:footnote>
  <w:footnote w:type="continuationSeparator" w:id="0">
    <w:p w14:paraId="46DEC6DE" w14:textId="77777777" w:rsidR="00F50F81" w:rsidRDefault="00F50F81">
      <w:pPr>
        <w:spacing w:after="0" w:line="240" w:lineRule="auto"/>
      </w:pPr>
      <w:r>
        <w:continuationSeparator/>
      </w:r>
    </w:p>
  </w:footnote>
  <w:footnote w:type="continuationNotice" w:id="1">
    <w:p w14:paraId="28E21ACD" w14:textId="77777777" w:rsidR="00F50F81" w:rsidRDefault="00F50F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D54BC" w14:textId="77777777" w:rsidR="00916FDE" w:rsidRDefault="00916F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9761E"/>
    <w:multiLevelType w:val="multilevel"/>
    <w:tmpl w:val="6C86EF6A"/>
    <w:styleLink w:val="LFO6"/>
    <w:lvl w:ilvl="0">
      <w:numFmt w:val="bullet"/>
      <w:pStyle w:val="List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color w:val="auto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FCE693E"/>
    <w:multiLevelType w:val="multilevel"/>
    <w:tmpl w:val="55DC33DE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12E2A8F"/>
    <w:multiLevelType w:val="multilevel"/>
    <w:tmpl w:val="D2FCC3E6"/>
    <w:styleLink w:val="LFO34"/>
    <w:lvl w:ilvl="0">
      <w:start w:val="1"/>
      <w:numFmt w:val="decimal"/>
      <w:pStyle w:val="Dept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  <w:rPr>
        <w:rFonts w:ascii="Arial" w:hAnsi="Arial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3" w15:restartNumberingAfterBreak="0">
    <w:nsid w:val="25265E8B"/>
    <w:multiLevelType w:val="multilevel"/>
    <w:tmpl w:val="B024EA62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6D7422D"/>
    <w:multiLevelType w:val="multilevel"/>
    <w:tmpl w:val="D14605B6"/>
    <w:styleLink w:val="LFO3"/>
    <w:lvl w:ilvl="0">
      <w:start w:val="1"/>
      <w:numFmt w:val="decimal"/>
      <w:pStyle w:val="DfESOutNumbered1"/>
      <w:lvlText w:val="%1."/>
      <w:lvlJc w:val="left"/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968" w:hanging="1368"/>
      </w:pPr>
    </w:lvl>
    <w:lvl w:ilvl="6">
      <w:start w:val="1"/>
      <w:numFmt w:val="decimal"/>
      <w:lvlText w:val="%1.%2.%3.%4.%5.%6.%7"/>
      <w:lvlJc w:val="left"/>
      <w:pPr>
        <w:ind w:left="5976" w:hanging="1656"/>
      </w:pPr>
    </w:lvl>
    <w:lvl w:ilvl="7">
      <w:start w:val="1"/>
      <w:numFmt w:val="decimal"/>
      <w:lvlText w:val="%1.%2.%3.%4.%5.%6.%7.%8"/>
      <w:lvlJc w:val="left"/>
      <w:pPr>
        <w:ind w:left="6696" w:hanging="1656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5" w15:restartNumberingAfterBreak="0">
    <w:nsid w:val="2F3F4978"/>
    <w:multiLevelType w:val="multilevel"/>
    <w:tmpl w:val="A296BC9C"/>
    <w:styleLink w:val="LFO4"/>
    <w:lvl w:ilvl="0">
      <w:numFmt w:val="bullet"/>
      <w:pStyle w:val="ListBullet4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3D802757"/>
    <w:multiLevelType w:val="hybridMultilevel"/>
    <w:tmpl w:val="DC600A9A"/>
    <w:lvl w:ilvl="0" w:tplc="08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3FE9198B"/>
    <w:multiLevelType w:val="multilevel"/>
    <w:tmpl w:val="2A508BBA"/>
    <w:styleLink w:val="LFO9"/>
    <w:lvl w:ilvl="0">
      <w:numFmt w:val="bullet"/>
      <w:pStyle w:val="ListBullet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5AD26892"/>
    <w:multiLevelType w:val="hybridMultilevel"/>
    <w:tmpl w:val="BAB2E632"/>
    <w:lvl w:ilvl="0" w:tplc="D1B6E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3112"/>
    <w:multiLevelType w:val="multilevel"/>
    <w:tmpl w:val="6ED6AA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59A0110"/>
    <w:multiLevelType w:val="hybridMultilevel"/>
    <w:tmpl w:val="BE2E8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F37F9D"/>
    <w:multiLevelType w:val="multilevel"/>
    <w:tmpl w:val="DE90E1B2"/>
    <w:styleLink w:val="LFO10"/>
    <w:lvl w:ilvl="0">
      <w:numFmt w:val="bullet"/>
      <w:pStyle w:val="ListBullet3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6BE87082"/>
    <w:multiLevelType w:val="multilevel"/>
    <w:tmpl w:val="14C2AA72"/>
    <w:styleLink w:val="LFO30"/>
    <w:lvl w:ilvl="0">
      <w:numFmt w:val="bullet"/>
      <w:pStyle w:val="DeptBulle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13" w15:restartNumberingAfterBreak="0">
    <w:nsid w:val="6D3426CA"/>
    <w:multiLevelType w:val="hybridMultilevel"/>
    <w:tmpl w:val="FC82AD7C"/>
    <w:lvl w:ilvl="0" w:tplc="08090001">
      <w:start w:val="1"/>
      <w:numFmt w:val="bullet"/>
      <w:lvlText w:val=""/>
      <w:lvlJc w:val="left"/>
      <w:pPr>
        <w:ind w:left="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14" w15:restartNumberingAfterBreak="0">
    <w:nsid w:val="719A5F31"/>
    <w:multiLevelType w:val="multilevel"/>
    <w:tmpl w:val="3B86DE2C"/>
    <w:styleLink w:val="LFO28"/>
    <w:lvl w:ilvl="0">
      <w:start w:val="1"/>
      <w:numFmt w:val="decimal"/>
      <w:pStyle w:val="DfES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15" w15:restartNumberingAfterBreak="0">
    <w:nsid w:val="71A22097"/>
    <w:multiLevelType w:val="multilevel"/>
    <w:tmpl w:val="009E2204"/>
    <w:styleLink w:val="LFO36"/>
    <w:lvl w:ilvl="0">
      <w:numFmt w:val="bullet"/>
      <w:pStyle w:val="DfESBullets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 w15:restartNumberingAfterBreak="0">
    <w:nsid w:val="75CE2048"/>
    <w:multiLevelType w:val="multilevel"/>
    <w:tmpl w:val="2E54C3FA"/>
    <w:styleLink w:val="LFO25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79ED3AFF"/>
    <w:multiLevelType w:val="hybridMultilevel"/>
    <w:tmpl w:val="0F1AC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11"/>
  </w:num>
  <w:num w:numId="8">
    <w:abstractNumId w:val="16"/>
  </w:num>
  <w:num w:numId="9">
    <w:abstractNumId w:val="14"/>
  </w:num>
  <w:num w:numId="10">
    <w:abstractNumId w:val="12"/>
  </w:num>
  <w:num w:numId="11">
    <w:abstractNumId w:val="2"/>
  </w:num>
  <w:num w:numId="12">
    <w:abstractNumId w:val="15"/>
  </w:num>
  <w:num w:numId="13">
    <w:abstractNumId w:val="9"/>
  </w:num>
  <w:num w:numId="14">
    <w:abstractNumId w:val="8"/>
  </w:num>
  <w:num w:numId="15">
    <w:abstractNumId w:val="13"/>
  </w:num>
  <w:num w:numId="16">
    <w:abstractNumId w:val="6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558"/>
    <w:rsid w:val="00003C74"/>
    <w:rsid w:val="00003E55"/>
    <w:rsid w:val="000205A9"/>
    <w:rsid w:val="00024509"/>
    <w:rsid w:val="000278D6"/>
    <w:rsid w:val="000279FF"/>
    <w:rsid w:val="000325F9"/>
    <w:rsid w:val="000357A4"/>
    <w:rsid w:val="00037EEC"/>
    <w:rsid w:val="0004145B"/>
    <w:rsid w:val="00050549"/>
    <w:rsid w:val="00055455"/>
    <w:rsid w:val="00060911"/>
    <w:rsid w:val="00061602"/>
    <w:rsid w:val="000618AE"/>
    <w:rsid w:val="00063E0D"/>
    <w:rsid w:val="00064B53"/>
    <w:rsid w:val="00065C2B"/>
    <w:rsid w:val="00066B73"/>
    <w:rsid w:val="0006764A"/>
    <w:rsid w:val="00076278"/>
    <w:rsid w:val="00084BCE"/>
    <w:rsid w:val="00085EFA"/>
    <w:rsid w:val="00087965"/>
    <w:rsid w:val="000952BD"/>
    <w:rsid w:val="000A2444"/>
    <w:rsid w:val="000A26A1"/>
    <w:rsid w:val="000A2EAE"/>
    <w:rsid w:val="000A3CFB"/>
    <w:rsid w:val="000B0681"/>
    <w:rsid w:val="000B4E7C"/>
    <w:rsid w:val="000B6E9B"/>
    <w:rsid w:val="000D6068"/>
    <w:rsid w:val="000D7358"/>
    <w:rsid w:val="000D7693"/>
    <w:rsid w:val="000E02FF"/>
    <w:rsid w:val="000E1E6A"/>
    <w:rsid w:val="000E3063"/>
    <w:rsid w:val="000E37D6"/>
    <w:rsid w:val="000E46A1"/>
    <w:rsid w:val="000E633D"/>
    <w:rsid w:val="000F2115"/>
    <w:rsid w:val="000F3D9D"/>
    <w:rsid w:val="000F4AC2"/>
    <w:rsid w:val="00103CC2"/>
    <w:rsid w:val="00115A6B"/>
    <w:rsid w:val="0011675F"/>
    <w:rsid w:val="00120AB1"/>
    <w:rsid w:val="00127DCB"/>
    <w:rsid w:val="00131AFD"/>
    <w:rsid w:val="00133986"/>
    <w:rsid w:val="001341D5"/>
    <w:rsid w:val="001509D2"/>
    <w:rsid w:val="00167BD8"/>
    <w:rsid w:val="00177ABA"/>
    <w:rsid w:val="001802C3"/>
    <w:rsid w:val="00180CF2"/>
    <w:rsid w:val="00186B1C"/>
    <w:rsid w:val="00187110"/>
    <w:rsid w:val="00191563"/>
    <w:rsid w:val="00193A4B"/>
    <w:rsid w:val="0019477D"/>
    <w:rsid w:val="0019540E"/>
    <w:rsid w:val="00197CE0"/>
    <w:rsid w:val="001B3053"/>
    <w:rsid w:val="001B3401"/>
    <w:rsid w:val="001B3B3A"/>
    <w:rsid w:val="001B4336"/>
    <w:rsid w:val="001B534D"/>
    <w:rsid w:val="001C19F0"/>
    <w:rsid w:val="001C673C"/>
    <w:rsid w:val="001E5E5F"/>
    <w:rsid w:val="001E6D73"/>
    <w:rsid w:val="001E7213"/>
    <w:rsid w:val="001E758D"/>
    <w:rsid w:val="001E7B39"/>
    <w:rsid w:val="001F5218"/>
    <w:rsid w:val="002065B4"/>
    <w:rsid w:val="002069D1"/>
    <w:rsid w:val="00210704"/>
    <w:rsid w:val="0021174A"/>
    <w:rsid w:val="00211B90"/>
    <w:rsid w:val="00212F47"/>
    <w:rsid w:val="00221406"/>
    <w:rsid w:val="00222E7A"/>
    <w:rsid w:val="00225309"/>
    <w:rsid w:val="00225C7A"/>
    <w:rsid w:val="0023487D"/>
    <w:rsid w:val="002479E1"/>
    <w:rsid w:val="00247B35"/>
    <w:rsid w:val="0025127E"/>
    <w:rsid w:val="0025497B"/>
    <w:rsid w:val="0026032F"/>
    <w:rsid w:val="0026507A"/>
    <w:rsid w:val="00267DCA"/>
    <w:rsid w:val="00273EB8"/>
    <w:rsid w:val="0027549D"/>
    <w:rsid w:val="00294E44"/>
    <w:rsid w:val="00296721"/>
    <w:rsid w:val="0029672C"/>
    <w:rsid w:val="002A0DBC"/>
    <w:rsid w:val="002A121B"/>
    <w:rsid w:val="002A3354"/>
    <w:rsid w:val="002A3A5D"/>
    <w:rsid w:val="002A42D8"/>
    <w:rsid w:val="002B2451"/>
    <w:rsid w:val="002B28B1"/>
    <w:rsid w:val="002B41EB"/>
    <w:rsid w:val="002C0B7E"/>
    <w:rsid w:val="002C2F5B"/>
    <w:rsid w:val="002C5B8B"/>
    <w:rsid w:val="002D27C9"/>
    <w:rsid w:val="002E0973"/>
    <w:rsid w:val="002E0DE6"/>
    <w:rsid w:val="002E0E6D"/>
    <w:rsid w:val="002E1DD3"/>
    <w:rsid w:val="002F047A"/>
    <w:rsid w:val="002F69DE"/>
    <w:rsid w:val="003042AD"/>
    <w:rsid w:val="00306EC3"/>
    <w:rsid w:val="003073FD"/>
    <w:rsid w:val="00327B5D"/>
    <w:rsid w:val="00331F4D"/>
    <w:rsid w:val="00333AA7"/>
    <w:rsid w:val="00336996"/>
    <w:rsid w:val="00340481"/>
    <w:rsid w:val="00347CDB"/>
    <w:rsid w:val="00352462"/>
    <w:rsid w:val="00354E46"/>
    <w:rsid w:val="003560FF"/>
    <w:rsid w:val="00374F19"/>
    <w:rsid w:val="00380135"/>
    <w:rsid w:val="00382BFF"/>
    <w:rsid w:val="0038457A"/>
    <w:rsid w:val="00384E66"/>
    <w:rsid w:val="0038707E"/>
    <w:rsid w:val="00391D9F"/>
    <w:rsid w:val="00393444"/>
    <w:rsid w:val="00397DAE"/>
    <w:rsid w:val="003A323E"/>
    <w:rsid w:val="003B0223"/>
    <w:rsid w:val="003B1D23"/>
    <w:rsid w:val="003B6570"/>
    <w:rsid w:val="003C1C6E"/>
    <w:rsid w:val="003D266C"/>
    <w:rsid w:val="003D38E5"/>
    <w:rsid w:val="003D69BE"/>
    <w:rsid w:val="003E2E71"/>
    <w:rsid w:val="003E69F0"/>
    <w:rsid w:val="003F20A4"/>
    <w:rsid w:val="003F35C2"/>
    <w:rsid w:val="003F3AD6"/>
    <w:rsid w:val="003F57E7"/>
    <w:rsid w:val="003F6C56"/>
    <w:rsid w:val="0040033A"/>
    <w:rsid w:val="004044AA"/>
    <w:rsid w:val="004076D7"/>
    <w:rsid w:val="00410AF3"/>
    <w:rsid w:val="00416AE5"/>
    <w:rsid w:val="00424408"/>
    <w:rsid w:val="00430403"/>
    <w:rsid w:val="004304FB"/>
    <w:rsid w:val="004358B7"/>
    <w:rsid w:val="004359E4"/>
    <w:rsid w:val="00441590"/>
    <w:rsid w:val="0044436C"/>
    <w:rsid w:val="00444EE6"/>
    <w:rsid w:val="004518E7"/>
    <w:rsid w:val="0045528D"/>
    <w:rsid w:val="004619E4"/>
    <w:rsid w:val="00462770"/>
    <w:rsid w:val="004628E1"/>
    <w:rsid w:val="00465E9B"/>
    <w:rsid w:val="004831F8"/>
    <w:rsid w:val="00483D7F"/>
    <w:rsid w:val="00490BA5"/>
    <w:rsid w:val="004922D2"/>
    <w:rsid w:val="004946F6"/>
    <w:rsid w:val="004973A7"/>
    <w:rsid w:val="004B17DD"/>
    <w:rsid w:val="004B1A81"/>
    <w:rsid w:val="004C2927"/>
    <w:rsid w:val="004C56F4"/>
    <w:rsid w:val="004D287B"/>
    <w:rsid w:val="004E1306"/>
    <w:rsid w:val="004E7118"/>
    <w:rsid w:val="004F0DE2"/>
    <w:rsid w:val="004F37AB"/>
    <w:rsid w:val="004F4485"/>
    <w:rsid w:val="00501223"/>
    <w:rsid w:val="00510318"/>
    <w:rsid w:val="0051738C"/>
    <w:rsid w:val="00526C89"/>
    <w:rsid w:val="0054236E"/>
    <w:rsid w:val="005432B8"/>
    <w:rsid w:val="00563C44"/>
    <w:rsid w:val="005654DE"/>
    <w:rsid w:val="00567907"/>
    <w:rsid w:val="005864C5"/>
    <w:rsid w:val="005945FD"/>
    <w:rsid w:val="005948D8"/>
    <w:rsid w:val="005A3A7D"/>
    <w:rsid w:val="005A6F18"/>
    <w:rsid w:val="005B52DD"/>
    <w:rsid w:val="005B7E07"/>
    <w:rsid w:val="005C09F6"/>
    <w:rsid w:val="005C1F41"/>
    <w:rsid w:val="005C1FBB"/>
    <w:rsid w:val="005C4BF9"/>
    <w:rsid w:val="005C4F1E"/>
    <w:rsid w:val="005D075F"/>
    <w:rsid w:val="005E07DE"/>
    <w:rsid w:val="005E222A"/>
    <w:rsid w:val="005F0EF0"/>
    <w:rsid w:val="005F22AF"/>
    <w:rsid w:val="005F3586"/>
    <w:rsid w:val="00604BBA"/>
    <w:rsid w:val="00606B67"/>
    <w:rsid w:val="006169A2"/>
    <w:rsid w:val="006211A1"/>
    <w:rsid w:val="00624281"/>
    <w:rsid w:val="00626EE3"/>
    <w:rsid w:val="00627E20"/>
    <w:rsid w:val="00632A1E"/>
    <w:rsid w:val="0063459A"/>
    <w:rsid w:val="00635D44"/>
    <w:rsid w:val="0063624A"/>
    <w:rsid w:val="006418C9"/>
    <w:rsid w:val="00642612"/>
    <w:rsid w:val="00647D1D"/>
    <w:rsid w:val="0065709F"/>
    <w:rsid w:val="006727A7"/>
    <w:rsid w:val="00680ED3"/>
    <w:rsid w:val="00690BA0"/>
    <w:rsid w:val="0069362A"/>
    <w:rsid w:val="0069575C"/>
    <w:rsid w:val="00695CB7"/>
    <w:rsid w:val="006A0E49"/>
    <w:rsid w:val="006B1618"/>
    <w:rsid w:val="006B5559"/>
    <w:rsid w:val="006E04B3"/>
    <w:rsid w:val="006E0B78"/>
    <w:rsid w:val="006E3E41"/>
    <w:rsid w:val="006E6DA3"/>
    <w:rsid w:val="006E7FB1"/>
    <w:rsid w:val="006F4345"/>
    <w:rsid w:val="007004B8"/>
    <w:rsid w:val="00702C09"/>
    <w:rsid w:val="00703F28"/>
    <w:rsid w:val="00707AAA"/>
    <w:rsid w:val="007105DD"/>
    <w:rsid w:val="00713A9B"/>
    <w:rsid w:val="00714304"/>
    <w:rsid w:val="00715B7C"/>
    <w:rsid w:val="007314DE"/>
    <w:rsid w:val="00736895"/>
    <w:rsid w:val="00737FF6"/>
    <w:rsid w:val="00741B9E"/>
    <w:rsid w:val="007473F7"/>
    <w:rsid w:val="00747A19"/>
    <w:rsid w:val="00752E36"/>
    <w:rsid w:val="00767D41"/>
    <w:rsid w:val="00770B0A"/>
    <w:rsid w:val="007744F8"/>
    <w:rsid w:val="007754E8"/>
    <w:rsid w:val="007831E9"/>
    <w:rsid w:val="0078767E"/>
    <w:rsid w:val="00790950"/>
    <w:rsid w:val="007909A0"/>
    <w:rsid w:val="00791597"/>
    <w:rsid w:val="00792DB9"/>
    <w:rsid w:val="00794855"/>
    <w:rsid w:val="00797379"/>
    <w:rsid w:val="007A42DE"/>
    <w:rsid w:val="007A667D"/>
    <w:rsid w:val="007B3393"/>
    <w:rsid w:val="007B3B38"/>
    <w:rsid w:val="007B4B89"/>
    <w:rsid w:val="007B6814"/>
    <w:rsid w:val="007C0361"/>
    <w:rsid w:val="007C2F04"/>
    <w:rsid w:val="007D1A45"/>
    <w:rsid w:val="007D2909"/>
    <w:rsid w:val="007E13F6"/>
    <w:rsid w:val="007E1D80"/>
    <w:rsid w:val="007F3FD2"/>
    <w:rsid w:val="007F7EB3"/>
    <w:rsid w:val="008047EF"/>
    <w:rsid w:val="00807969"/>
    <w:rsid w:val="00807EDD"/>
    <w:rsid w:val="00812B30"/>
    <w:rsid w:val="00813696"/>
    <w:rsid w:val="008167CB"/>
    <w:rsid w:val="00816C2F"/>
    <w:rsid w:val="00821596"/>
    <w:rsid w:val="008331B4"/>
    <w:rsid w:val="00833C85"/>
    <w:rsid w:val="00835CF8"/>
    <w:rsid w:val="00844052"/>
    <w:rsid w:val="0085114D"/>
    <w:rsid w:val="00852EB4"/>
    <w:rsid w:val="00857F22"/>
    <w:rsid w:val="0086718E"/>
    <w:rsid w:val="00870D5B"/>
    <w:rsid w:val="00890B37"/>
    <w:rsid w:val="00893BAD"/>
    <w:rsid w:val="008A394C"/>
    <w:rsid w:val="008A449C"/>
    <w:rsid w:val="008A732B"/>
    <w:rsid w:val="008B6B9D"/>
    <w:rsid w:val="008C3365"/>
    <w:rsid w:val="008C3980"/>
    <w:rsid w:val="008C7EDE"/>
    <w:rsid w:val="008D74C7"/>
    <w:rsid w:val="008D7640"/>
    <w:rsid w:val="008D7BB8"/>
    <w:rsid w:val="008E0360"/>
    <w:rsid w:val="008E2ECB"/>
    <w:rsid w:val="008E70B4"/>
    <w:rsid w:val="008F0C3C"/>
    <w:rsid w:val="008F5E13"/>
    <w:rsid w:val="008F71A1"/>
    <w:rsid w:val="009024F6"/>
    <w:rsid w:val="009041AF"/>
    <w:rsid w:val="00911968"/>
    <w:rsid w:val="00912B11"/>
    <w:rsid w:val="00916FDE"/>
    <w:rsid w:val="00924299"/>
    <w:rsid w:val="00926196"/>
    <w:rsid w:val="009317E6"/>
    <w:rsid w:val="00942740"/>
    <w:rsid w:val="009445BB"/>
    <w:rsid w:val="00945FA9"/>
    <w:rsid w:val="00947997"/>
    <w:rsid w:val="00947EAF"/>
    <w:rsid w:val="00952647"/>
    <w:rsid w:val="00953033"/>
    <w:rsid w:val="00955340"/>
    <w:rsid w:val="00955B4D"/>
    <w:rsid w:val="00956AB9"/>
    <w:rsid w:val="0095706C"/>
    <w:rsid w:val="0095779B"/>
    <w:rsid w:val="009750CC"/>
    <w:rsid w:val="00975E01"/>
    <w:rsid w:val="00982BE1"/>
    <w:rsid w:val="00996253"/>
    <w:rsid w:val="009A3684"/>
    <w:rsid w:val="009B11A3"/>
    <w:rsid w:val="009C3999"/>
    <w:rsid w:val="009C6FC2"/>
    <w:rsid w:val="009D05CA"/>
    <w:rsid w:val="009D1DFD"/>
    <w:rsid w:val="009D34CE"/>
    <w:rsid w:val="009D4A8F"/>
    <w:rsid w:val="009D71E8"/>
    <w:rsid w:val="009E549F"/>
    <w:rsid w:val="009E671F"/>
    <w:rsid w:val="00A024BE"/>
    <w:rsid w:val="00A04C3D"/>
    <w:rsid w:val="00A0589E"/>
    <w:rsid w:val="00A064FE"/>
    <w:rsid w:val="00A079BC"/>
    <w:rsid w:val="00A208BC"/>
    <w:rsid w:val="00A343DE"/>
    <w:rsid w:val="00A443FB"/>
    <w:rsid w:val="00A47425"/>
    <w:rsid w:val="00A5334D"/>
    <w:rsid w:val="00A6147D"/>
    <w:rsid w:val="00A738E5"/>
    <w:rsid w:val="00A7575F"/>
    <w:rsid w:val="00A76387"/>
    <w:rsid w:val="00A81FD4"/>
    <w:rsid w:val="00A84D03"/>
    <w:rsid w:val="00A93C67"/>
    <w:rsid w:val="00A95235"/>
    <w:rsid w:val="00AA0E54"/>
    <w:rsid w:val="00AA2BA3"/>
    <w:rsid w:val="00AC3006"/>
    <w:rsid w:val="00AD3FE6"/>
    <w:rsid w:val="00AD4F33"/>
    <w:rsid w:val="00AD5D0E"/>
    <w:rsid w:val="00AE5BDE"/>
    <w:rsid w:val="00B00541"/>
    <w:rsid w:val="00B2201A"/>
    <w:rsid w:val="00B26436"/>
    <w:rsid w:val="00B308A3"/>
    <w:rsid w:val="00B330E0"/>
    <w:rsid w:val="00B33751"/>
    <w:rsid w:val="00B413F7"/>
    <w:rsid w:val="00B47C59"/>
    <w:rsid w:val="00B50942"/>
    <w:rsid w:val="00B57F8E"/>
    <w:rsid w:val="00B67E97"/>
    <w:rsid w:val="00B729E6"/>
    <w:rsid w:val="00B8064D"/>
    <w:rsid w:val="00B84BF8"/>
    <w:rsid w:val="00B90BC2"/>
    <w:rsid w:val="00B9360D"/>
    <w:rsid w:val="00BA1987"/>
    <w:rsid w:val="00BA29AB"/>
    <w:rsid w:val="00BA2A8E"/>
    <w:rsid w:val="00BB1D1D"/>
    <w:rsid w:val="00BB553F"/>
    <w:rsid w:val="00BB6647"/>
    <w:rsid w:val="00BB706F"/>
    <w:rsid w:val="00BC08B5"/>
    <w:rsid w:val="00BC2643"/>
    <w:rsid w:val="00BC39EA"/>
    <w:rsid w:val="00BD0BC7"/>
    <w:rsid w:val="00BD2233"/>
    <w:rsid w:val="00BD2A06"/>
    <w:rsid w:val="00BD4765"/>
    <w:rsid w:val="00BE7D63"/>
    <w:rsid w:val="00BF199B"/>
    <w:rsid w:val="00BF6B76"/>
    <w:rsid w:val="00C04813"/>
    <w:rsid w:val="00C05B5B"/>
    <w:rsid w:val="00C260A5"/>
    <w:rsid w:val="00C31B75"/>
    <w:rsid w:val="00C50FB7"/>
    <w:rsid w:val="00C52AC0"/>
    <w:rsid w:val="00C53447"/>
    <w:rsid w:val="00C55DE6"/>
    <w:rsid w:val="00C5673E"/>
    <w:rsid w:val="00C56D00"/>
    <w:rsid w:val="00C72D0F"/>
    <w:rsid w:val="00C73D20"/>
    <w:rsid w:val="00C76C40"/>
    <w:rsid w:val="00C823D4"/>
    <w:rsid w:val="00C83CEE"/>
    <w:rsid w:val="00C85318"/>
    <w:rsid w:val="00C972D0"/>
    <w:rsid w:val="00CA2413"/>
    <w:rsid w:val="00CB36B2"/>
    <w:rsid w:val="00CC0199"/>
    <w:rsid w:val="00CC38DF"/>
    <w:rsid w:val="00CE4B87"/>
    <w:rsid w:val="00CF0FDA"/>
    <w:rsid w:val="00CF2BC1"/>
    <w:rsid w:val="00CF4D4F"/>
    <w:rsid w:val="00CF6C65"/>
    <w:rsid w:val="00D1001B"/>
    <w:rsid w:val="00D1259D"/>
    <w:rsid w:val="00D23B5E"/>
    <w:rsid w:val="00D26099"/>
    <w:rsid w:val="00D26288"/>
    <w:rsid w:val="00D33FE5"/>
    <w:rsid w:val="00D36A36"/>
    <w:rsid w:val="00D42F2D"/>
    <w:rsid w:val="00D515F4"/>
    <w:rsid w:val="00D5444B"/>
    <w:rsid w:val="00D61ADE"/>
    <w:rsid w:val="00D65412"/>
    <w:rsid w:val="00D71649"/>
    <w:rsid w:val="00D71C96"/>
    <w:rsid w:val="00D72815"/>
    <w:rsid w:val="00D82D2F"/>
    <w:rsid w:val="00D84A3E"/>
    <w:rsid w:val="00D85114"/>
    <w:rsid w:val="00D85CC5"/>
    <w:rsid w:val="00D90CE9"/>
    <w:rsid w:val="00D9477C"/>
    <w:rsid w:val="00D952E8"/>
    <w:rsid w:val="00D95EBB"/>
    <w:rsid w:val="00DA0F92"/>
    <w:rsid w:val="00DA10EB"/>
    <w:rsid w:val="00DA5515"/>
    <w:rsid w:val="00DA5A7E"/>
    <w:rsid w:val="00DB0432"/>
    <w:rsid w:val="00DB31DA"/>
    <w:rsid w:val="00DB66FF"/>
    <w:rsid w:val="00DB69DD"/>
    <w:rsid w:val="00DD1AE7"/>
    <w:rsid w:val="00DF2F31"/>
    <w:rsid w:val="00DF4770"/>
    <w:rsid w:val="00E04DF3"/>
    <w:rsid w:val="00E12663"/>
    <w:rsid w:val="00E165ED"/>
    <w:rsid w:val="00E2005F"/>
    <w:rsid w:val="00E23C5F"/>
    <w:rsid w:val="00E30FD5"/>
    <w:rsid w:val="00E32ECE"/>
    <w:rsid w:val="00E40571"/>
    <w:rsid w:val="00E41320"/>
    <w:rsid w:val="00E416FD"/>
    <w:rsid w:val="00E63466"/>
    <w:rsid w:val="00E66558"/>
    <w:rsid w:val="00E676CC"/>
    <w:rsid w:val="00E861CC"/>
    <w:rsid w:val="00E864BF"/>
    <w:rsid w:val="00E93791"/>
    <w:rsid w:val="00EA1C20"/>
    <w:rsid w:val="00EA43DF"/>
    <w:rsid w:val="00EA635D"/>
    <w:rsid w:val="00EB3FF4"/>
    <w:rsid w:val="00EB44E1"/>
    <w:rsid w:val="00ED071F"/>
    <w:rsid w:val="00ED56C6"/>
    <w:rsid w:val="00EE083E"/>
    <w:rsid w:val="00EF002A"/>
    <w:rsid w:val="00EF0CDA"/>
    <w:rsid w:val="00EF12D0"/>
    <w:rsid w:val="00EF3407"/>
    <w:rsid w:val="00EF4312"/>
    <w:rsid w:val="00EF6115"/>
    <w:rsid w:val="00F05572"/>
    <w:rsid w:val="00F261BF"/>
    <w:rsid w:val="00F318C9"/>
    <w:rsid w:val="00F33FC3"/>
    <w:rsid w:val="00F43023"/>
    <w:rsid w:val="00F44119"/>
    <w:rsid w:val="00F4777A"/>
    <w:rsid w:val="00F47EF9"/>
    <w:rsid w:val="00F50F81"/>
    <w:rsid w:val="00F537C7"/>
    <w:rsid w:val="00F54F6C"/>
    <w:rsid w:val="00F6058A"/>
    <w:rsid w:val="00F62133"/>
    <w:rsid w:val="00F6486F"/>
    <w:rsid w:val="00F7368B"/>
    <w:rsid w:val="00F77757"/>
    <w:rsid w:val="00F821CD"/>
    <w:rsid w:val="00F82457"/>
    <w:rsid w:val="00F94343"/>
    <w:rsid w:val="00F94B8B"/>
    <w:rsid w:val="00FA37D6"/>
    <w:rsid w:val="00FA38E1"/>
    <w:rsid w:val="00FB5E16"/>
    <w:rsid w:val="00FD0C49"/>
    <w:rsid w:val="00FD3977"/>
    <w:rsid w:val="00FE61F5"/>
    <w:rsid w:val="00FF4F49"/>
    <w:rsid w:val="00FF7175"/>
    <w:rsid w:val="0134AA58"/>
    <w:rsid w:val="02D07AB9"/>
    <w:rsid w:val="02D6B58D"/>
    <w:rsid w:val="031230F2"/>
    <w:rsid w:val="03DBEEAE"/>
    <w:rsid w:val="03E193DA"/>
    <w:rsid w:val="040B5DD6"/>
    <w:rsid w:val="0719349C"/>
    <w:rsid w:val="07243DBB"/>
    <w:rsid w:val="073C77A0"/>
    <w:rsid w:val="08548E3C"/>
    <w:rsid w:val="09286E7E"/>
    <w:rsid w:val="09F35289"/>
    <w:rsid w:val="0B169EB0"/>
    <w:rsid w:val="0C7F4A85"/>
    <w:rsid w:val="0CCB4941"/>
    <w:rsid w:val="0D5EE234"/>
    <w:rsid w:val="0D84484F"/>
    <w:rsid w:val="0E4E3F72"/>
    <w:rsid w:val="0EE43D28"/>
    <w:rsid w:val="0FEA0FD3"/>
    <w:rsid w:val="105943A1"/>
    <w:rsid w:val="1091B8AE"/>
    <w:rsid w:val="1185E034"/>
    <w:rsid w:val="1257B972"/>
    <w:rsid w:val="12B4DCA8"/>
    <w:rsid w:val="138CFEE4"/>
    <w:rsid w:val="13DAA015"/>
    <w:rsid w:val="14A34986"/>
    <w:rsid w:val="14CF5DDD"/>
    <w:rsid w:val="154A9D7C"/>
    <w:rsid w:val="158D9E97"/>
    <w:rsid w:val="158F5A34"/>
    <w:rsid w:val="1673ECB6"/>
    <w:rsid w:val="16A9C0A6"/>
    <w:rsid w:val="16F97D76"/>
    <w:rsid w:val="17230267"/>
    <w:rsid w:val="1760C74A"/>
    <w:rsid w:val="190D245F"/>
    <w:rsid w:val="1913517C"/>
    <w:rsid w:val="1928EC33"/>
    <w:rsid w:val="193D86DE"/>
    <w:rsid w:val="19E16168"/>
    <w:rsid w:val="1AA6F7E9"/>
    <w:rsid w:val="1ADAB289"/>
    <w:rsid w:val="1B1887B3"/>
    <w:rsid w:val="1B4193BE"/>
    <w:rsid w:val="1B458535"/>
    <w:rsid w:val="1B50A885"/>
    <w:rsid w:val="1B7D31C9"/>
    <w:rsid w:val="1C673BC8"/>
    <w:rsid w:val="1C6D3B3A"/>
    <w:rsid w:val="1C733C31"/>
    <w:rsid w:val="1C762B5A"/>
    <w:rsid w:val="1D16D71B"/>
    <w:rsid w:val="1D19F73F"/>
    <w:rsid w:val="1D4AE7AD"/>
    <w:rsid w:val="1D86B63D"/>
    <w:rsid w:val="1DA68770"/>
    <w:rsid w:val="1E7DEB77"/>
    <w:rsid w:val="1E852AF2"/>
    <w:rsid w:val="1EB4D28B"/>
    <w:rsid w:val="1F0EE2DB"/>
    <w:rsid w:val="1F9D241D"/>
    <w:rsid w:val="20378893"/>
    <w:rsid w:val="23F818A3"/>
    <w:rsid w:val="2415C8F4"/>
    <w:rsid w:val="242B4925"/>
    <w:rsid w:val="2449CDBF"/>
    <w:rsid w:val="25843BB4"/>
    <w:rsid w:val="2655E831"/>
    <w:rsid w:val="2666F037"/>
    <w:rsid w:val="26844665"/>
    <w:rsid w:val="26B07199"/>
    <w:rsid w:val="272FB965"/>
    <w:rsid w:val="274F6CA0"/>
    <w:rsid w:val="28EB3D01"/>
    <w:rsid w:val="291D8EFE"/>
    <w:rsid w:val="299B37F5"/>
    <w:rsid w:val="2A870D62"/>
    <w:rsid w:val="2ABB5F4D"/>
    <w:rsid w:val="2B02F69C"/>
    <w:rsid w:val="2C2EB447"/>
    <w:rsid w:val="2CAFCD2A"/>
    <w:rsid w:val="2CB0FB00"/>
    <w:rsid w:val="2E4DADD2"/>
    <w:rsid w:val="2F0FF895"/>
    <w:rsid w:val="2F222FCD"/>
    <w:rsid w:val="2F5B270E"/>
    <w:rsid w:val="2F9468AB"/>
    <w:rsid w:val="305DAB4F"/>
    <w:rsid w:val="30D7C9A0"/>
    <w:rsid w:val="3141614C"/>
    <w:rsid w:val="320A849D"/>
    <w:rsid w:val="32599DD2"/>
    <w:rsid w:val="329D65D1"/>
    <w:rsid w:val="32FFBBD1"/>
    <w:rsid w:val="33A9C4A1"/>
    <w:rsid w:val="33BD60E8"/>
    <w:rsid w:val="3465F4B8"/>
    <w:rsid w:val="34D461EF"/>
    <w:rsid w:val="34E9E22D"/>
    <w:rsid w:val="35076F08"/>
    <w:rsid w:val="353EB0FF"/>
    <w:rsid w:val="3566582E"/>
    <w:rsid w:val="35C60B8B"/>
    <w:rsid w:val="3660BCC6"/>
    <w:rsid w:val="366847BB"/>
    <w:rsid w:val="38014E47"/>
    <w:rsid w:val="38143580"/>
    <w:rsid w:val="3818E462"/>
    <w:rsid w:val="383CF0D6"/>
    <w:rsid w:val="38AE6080"/>
    <w:rsid w:val="397BBC44"/>
    <w:rsid w:val="3998C427"/>
    <w:rsid w:val="39DE90B6"/>
    <w:rsid w:val="3A26A920"/>
    <w:rsid w:val="3A959A85"/>
    <w:rsid w:val="3AA232C6"/>
    <w:rsid w:val="3B15045A"/>
    <w:rsid w:val="3BC73FFB"/>
    <w:rsid w:val="3C2740E3"/>
    <w:rsid w:val="3C4D6F11"/>
    <w:rsid w:val="3D6D4369"/>
    <w:rsid w:val="3D72EA4B"/>
    <w:rsid w:val="3DCB39F7"/>
    <w:rsid w:val="3DE93F72"/>
    <w:rsid w:val="3E7110FE"/>
    <w:rsid w:val="3EAF6C84"/>
    <w:rsid w:val="3EFE53BB"/>
    <w:rsid w:val="3F1590F5"/>
    <w:rsid w:val="405614A6"/>
    <w:rsid w:val="40BD31A0"/>
    <w:rsid w:val="41146036"/>
    <w:rsid w:val="415F28FA"/>
    <w:rsid w:val="41AE8BD1"/>
    <w:rsid w:val="41C4FC2B"/>
    <w:rsid w:val="42466282"/>
    <w:rsid w:val="429A2F57"/>
    <w:rsid w:val="42CFE3BE"/>
    <w:rsid w:val="4358F409"/>
    <w:rsid w:val="444C00F8"/>
    <w:rsid w:val="445880F6"/>
    <w:rsid w:val="4519511F"/>
    <w:rsid w:val="457DBBD4"/>
    <w:rsid w:val="45A936CE"/>
    <w:rsid w:val="46D0B943"/>
    <w:rsid w:val="46F1CB41"/>
    <w:rsid w:val="46FF4514"/>
    <w:rsid w:val="4714B552"/>
    <w:rsid w:val="47CC8911"/>
    <w:rsid w:val="48B7A981"/>
    <w:rsid w:val="48EB8F4B"/>
    <w:rsid w:val="4922CB1F"/>
    <w:rsid w:val="4A26B255"/>
    <w:rsid w:val="4A8DF89D"/>
    <w:rsid w:val="4AF8287B"/>
    <w:rsid w:val="4AFDE403"/>
    <w:rsid w:val="4BA1555E"/>
    <w:rsid w:val="4BEF1FE4"/>
    <w:rsid w:val="4D142DD8"/>
    <w:rsid w:val="4D2285C5"/>
    <w:rsid w:val="4DD3F965"/>
    <w:rsid w:val="4E0C5FB0"/>
    <w:rsid w:val="4E2D9334"/>
    <w:rsid w:val="4FC9C9B5"/>
    <w:rsid w:val="4FD8809F"/>
    <w:rsid w:val="5006AD1C"/>
    <w:rsid w:val="50B6A810"/>
    <w:rsid w:val="5139F85B"/>
    <w:rsid w:val="51D6C39D"/>
    <w:rsid w:val="523CDDBE"/>
    <w:rsid w:val="52A0DEC3"/>
    <w:rsid w:val="5304D41B"/>
    <w:rsid w:val="53EE48D2"/>
    <w:rsid w:val="540429A3"/>
    <w:rsid w:val="543CAF24"/>
    <w:rsid w:val="554183B7"/>
    <w:rsid w:val="5564FFE4"/>
    <w:rsid w:val="557FCF64"/>
    <w:rsid w:val="56A97B1A"/>
    <w:rsid w:val="5760111E"/>
    <w:rsid w:val="57744FE6"/>
    <w:rsid w:val="583BDEA5"/>
    <w:rsid w:val="58524EFF"/>
    <w:rsid w:val="58D367DD"/>
    <w:rsid w:val="5A1FA4EA"/>
    <w:rsid w:val="5A38CD33"/>
    <w:rsid w:val="5A8907FF"/>
    <w:rsid w:val="5A995410"/>
    <w:rsid w:val="5B1CFEA8"/>
    <w:rsid w:val="5BAC0218"/>
    <w:rsid w:val="5C206611"/>
    <w:rsid w:val="5C352471"/>
    <w:rsid w:val="5C41A59B"/>
    <w:rsid w:val="5CAF2DA6"/>
    <w:rsid w:val="5E78C75E"/>
    <w:rsid w:val="5EF0219C"/>
    <w:rsid w:val="5FB01DF3"/>
    <w:rsid w:val="61E2C0EB"/>
    <w:rsid w:val="62262EC7"/>
    <w:rsid w:val="62DBC4F4"/>
    <w:rsid w:val="631B03FF"/>
    <w:rsid w:val="6376292A"/>
    <w:rsid w:val="63D59BE3"/>
    <w:rsid w:val="648692F6"/>
    <w:rsid w:val="66D58B26"/>
    <w:rsid w:val="67EBD845"/>
    <w:rsid w:val="6812E467"/>
    <w:rsid w:val="694DBC8A"/>
    <w:rsid w:val="6A7B18D9"/>
    <w:rsid w:val="6B00EEDB"/>
    <w:rsid w:val="6B4E48B6"/>
    <w:rsid w:val="6BC5F789"/>
    <w:rsid w:val="6C7D0C01"/>
    <w:rsid w:val="6D3A58E1"/>
    <w:rsid w:val="6ED44FCA"/>
    <w:rsid w:val="6F216615"/>
    <w:rsid w:val="6F3E1F39"/>
    <w:rsid w:val="6FA9F208"/>
    <w:rsid w:val="6FEB8D5D"/>
    <w:rsid w:val="6FFEF83F"/>
    <w:rsid w:val="70D6D855"/>
    <w:rsid w:val="71326209"/>
    <w:rsid w:val="7190A98D"/>
    <w:rsid w:val="719BC188"/>
    <w:rsid w:val="71DDD46C"/>
    <w:rsid w:val="725906D7"/>
    <w:rsid w:val="72C60D6A"/>
    <w:rsid w:val="7352268B"/>
    <w:rsid w:val="73D52C51"/>
    <w:rsid w:val="7524CF86"/>
    <w:rsid w:val="753AE19F"/>
    <w:rsid w:val="75BFFA84"/>
    <w:rsid w:val="75DBCF1E"/>
    <w:rsid w:val="76124C9D"/>
    <w:rsid w:val="763B116C"/>
    <w:rsid w:val="767AEE5A"/>
    <w:rsid w:val="768B4A7A"/>
    <w:rsid w:val="76C86B77"/>
    <w:rsid w:val="76CCC517"/>
    <w:rsid w:val="76D48936"/>
    <w:rsid w:val="76EB2FE0"/>
    <w:rsid w:val="775345B1"/>
    <w:rsid w:val="7755AC2A"/>
    <w:rsid w:val="77AF83F4"/>
    <w:rsid w:val="78334691"/>
    <w:rsid w:val="7871C2AD"/>
    <w:rsid w:val="788B5234"/>
    <w:rsid w:val="789BECD5"/>
    <w:rsid w:val="78AF1FFE"/>
    <w:rsid w:val="78D11EEF"/>
    <w:rsid w:val="78EC8CD9"/>
    <w:rsid w:val="790AB384"/>
    <w:rsid w:val="79299872"/>
    <w:rsid w:val="793E804B"/>
    <w:rsid w:val="7A0465D9"/>
    <w:rsid w:val="7A259222"/>
    <w:rsid w:val="7A2E963C"/>
    <w:rsid w:val="7A37BD36"/>
    <w:rsid w:val="7A5BCF17"/>
    <w:rsid w:val="7A8D4CEC"/>
    <w:rsid w:val="7BCA669D"/>
    <w:rsid w:val="7BEFC5BA"/>
    <w:rsid w:val="7CF945FA"/>
    <w:rsid w:val="7D1CC8DA"/>
    <w:rsid w:val="7F38B7D4"/>
    <w:rsid w:val="7F781BEC"/>
    <w:rsid w:val="7FCBF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D54B1"/>
  <w15:docId w15:val="{259848CE-8BE5-428A-A1A6-0CC05E5EA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40" w:line="288" w:lineRule="auto"/>
    </w:pPr>
    <w:rPr>
      <w:color w:val="0D0D0D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pageBreakBefore/>
      <w:spacing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48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uiPriority w:val="9"/>
    <w:unhideWhenUsed/>
    <w:qFormat/>
    <w:pPr>
      <w:spacing w:before="360"/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uiPriority w:val="9"/>
    <w:semiHidden/>
    <w:unhideWhenUsed/>
    <w:qFormat/>
    <w:pPr>
      <w:spacing w:before="24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1">
    <w:name w:val="WW_OutlineListStyle_1"/>
    <w:basedOn w:val="NoList"/>
    <w:pPr>
      <w:numPr>
        <w:numId w:val="1"/>
      </w:numPr>
    </w:pPr>
  </w:style>
  <w:style w:type="character" w:customStyle="1" w:styleId="Heading1Char">
    <w:name w:val="Heading 1 Char"/>
    <w:rPr>
      <w:b/>
      <w:color w:val="104F75"/>
      <w:sz w:val="36"/>
      <w:szCs w:val="24"/>
    </w:rPr>
  </w:style>
  <w:style w:type="character" w:customStyle="1" w:styleId="Heading2Char">
    <w:name w:val="Heading 2 Char"/>
    <w:rPr>
      <w:b/>
      <w:color w:val="104F75"/>
      <w:sz w:val="32"/>
      <w:szCs w:val="32"/>
    </w:rPr>
  </w:style>
  <w:style w:type="character" w:customStyle="1" w:styleId="Heading3Char">
    <w:name w:val="Heading 3 Char"/>
    <w:rPr>
      <w:b/>
      <w:bCs/>
      <w:color w:val="104F75"/>
      <w:sz w:val="28"/>
      <w:szCs w:val="28"/>
    </w:rPr>
  </w:style>
  <w:style w:type="character" w:styleId="Hyperlink">
    <w:name w:val="Hyperlink"/>
    <w:rPr>
      <w:rFonts w:ascii="Arial" w:hAnsi="Arial"/>
      <w:color w:val="0000FF"/>
      <w:sz w:val="24"/>
      <w:u w:val="single"/>
    </w:rPr>
  </w:style>
  <w:style w:type="paragraph" w:styleId="TOCHeading">
    <w:name w:val="TOC Heading"/>
    <w:basedOn w:val="Normal"/>
    <w:next w:val="Normal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customStyle="1" w:styleId="TitleText">
    <w:name w:val="TitleText"/>
    <w:basedOn w:val="Normal"/>
    <w:pPr>
      <w:spacing w:before="3600" w:line="240" w:lineRule="auto"/>
    </w:pPr>
    <w:rPr>
      <w:rFonts w:cs="Arial"/>
      <w:b/>
      <w:color w:val="104F75"/>
      <w:sz w:val="92"/>
      <w:szCs w:val="92"/>
    </w:rPr>
  </w:style>
  <w:style w:type="character" w:customStyle="1" w:styleId="TitleTextChar">
    <w:name w:val="TitleText Char"/>
    <w:rPr>
      <w:rFonts w:cs="Arial"/>
      <w:b/>
      <w:color w:val="104F75"/>
      <w:sz w:val="92"/>
      <w:szCs w:val="92"/>
    </w:rPr>
  </w:style>
  <w:style w:type="paragraph" w:customStyle="1" w:styleId="SubtitleText">
    <w:name w:val="SubtitleText"/>
    <w:basedOn w:val="Normal"/>
    <w:pPr>
      <w:spacing w:after="1520"/>
    </w:pPr>
    <w:rPr>
      <w:rFonts w:cs="Arial"/>
      <w:b/>
      <w:color w:val="104F75"/>
      <w:sz w:val="48"/>
      <w:szCs w:val="48"/>
    </w:rPr>
  </w:style>
  <w:style w:type="character" w:customStyle="1" w:styleId="SubtitleTextChar">
    <w:name w:val="SubtitleText Char"/>
    <w:rPr>
      <w:rFonts w:cs="Arial"/>
      <w:b/>
      <w:color w:val="104F75"/>
      <w:sz w:val="48"/>
      <w:szCs w:val="48"/>
    </w:rPr>
  </w:style>
  <w:style w:type="paragraph" w:styleId="ListBullet">
    <w:name w:val="List Bullet"/>
    <w:basedOn w:val="ListBullet5"/>
    <w:pPr>
      <w:numPr>
        <w:numId w:val="5"/>
      </w:numPr>
      <w:contextualSpacing/>
    </w:pPr>
  </w:style>
  <w:style w:type="paragraph" w:styleId="TOC1">
    <w:name w:val="toc 1"/>
    <w:basedOn w:val="Normal"/>
    <w:next w:val="Normal"/>
    <w:autoRedefine/>
    <w:pPr>
      <w:tabs>
        <w:tab w:val="right" w:pos="9498"/>
      </w:tabs>
      <w:spacing w:after="120"/>
    </w:pPr>
  </w:style>
  <w:style w:type="paragraph" w:styleId="TOC2">
    <w:name w:val="toc 2"/>
    <w:basedOn w:val="Normal"/>
    <w:next w:val="Normal"/>
    <w:autoRedefine/>
    <w:pPr>
      <w:tabs>
        <w:tab w:val="right" w:pos="9498"/>
      </w:tabs>
      <w:spacing w:after="120"/>
      <w:ind w:left="238"/>
    </w:pPr>
  </w:style>
  <w:style w:type="paragraph" w:styleId="TOC3">
    <w:name w:val="toc 3"/>
    <w:basedOn w:val="Normal"/>
    <w:next w:val="Normal"/>
    <w:autoRedefine/>
    <w:pPr>
      <w:tabs>
        <w:tab w:val="right" w:pos="9498"/>
      </w:tabs>
      <w:spacing w:after="120"/>
      <w:ind w:left="480"/>
    </w:pPr>
  </w:style>
  <w:style w:type="paragraph" w:customStyle="1" w:styleId="CopyrightBox">
    <w:name w:val="CopyrightBox"/>
    <w:basedOn w:val="Normal"/>
  </w:style>
  <w:style w:type="character" w:customStyle="1" w:styleId="CopyrightBoxChar">
    <w:name w:val="CopyrightBox Char"/>
    <w:rPr>
      <w:color w:val="0D0D0D"/>
      <w:sz w:val="24"/>
      <w:szCs w:val="24"/>
    </w:rPr>
  </w:style>
  <w:style w:type="paragraph" w:customStyle="1" w:styleId="CopyrightSpacing">
    <w:name w:val="CopyrightSpacing"/>
    <w:basedOn w:val="Normal"/>
    <w:pPr>
      <w:spacing w:before="6000" w:after="120"/>
    </w:pPr>
  </w:style>
  <w:style w:type="character" w:customStyle="1" w:styleId="CopyrightSpacingChar">
    <w:name w:val="CopyrightSpacing Char"/>
    <w:rPr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rPr>
      <w:rFonts w:ascii="Arial" w:hAnsi="Arial" w:cs="Arial"/>
      <w:b/>
      <w:color w:val="104F75"/>
      <w:sz w:val="96"/>
      <w:szCs w:val="120"/>
      <w:lang w:eastAsia="en-US"/>
    </w:rPr>
  </w:style>
  <w:style w:type="paragraph" w:styleId="TableofFigures">
    <w:name w:val="table of figures"/>
    <w:basedOn w:val="Normal"/>
    <w:next w:val="Normal"/>
    <w:pPr>
      <w:spacing w:after="120"/>
    </w:pPr>
  </w:style>
  <w:style w:type="paragraph" w:styleId="ListBullet4">
    <w:name w:val="List Bullet 4"/>
    <w:basedOn w:val="Normal"/>
    <w:pPr>
      <w:numPr>
        <w:numId w:val="4"/>
      </w:numPr>
      <w:contextualSpacing/>
    </w:pPr>
  </w:style>
  <w:style w:type="paragraph" w:styleId="ListParagraph">
    <w:name w:val="List Paragraph"/>
    <w:basedOn w:val="Normal"/>
    <w:uiPriority w:val="34"/>
    <w:qFormat/>
    <w:pPr>
      <w:numPr>
        <w:numId w:val="8"/>
      </w:numPr>
      <w:contextualSpacing/>
    </w:pPr>
  </w:style>
  <w:style w:type="paragraph" w:styleId="Caption">
    <w:name w:val="caption"/>
    <w:basedOn w:val="Normal"/>
    <w:next w:val="Normal"/>
    <w:pPr>
      <w:spacing w:before="120" w:after="120"/>
      <w:jc w:val="center"/>
    </w:pPr>
    <w:rPr>
      <w:b/>
      <w:bCs/>
      <w:color w:val="000000"/>
      <w:sz w:val="20"/>
      <w:szCs w:val="20"/>
    </w:rPr>
  </w:style>
  <w:style w:type="character" w:customStyle="1" w:styleId="Heading4Char">
    <w:name w:val="Heading 4 Char"/>
    <w:rPr>
      <w:b/>
      <w:bCs/>
      <w:color w:val="104F75"/>
      <w:sz w:val="24"/>
      <w:szCs w:val="28"/>
    </w:rPr>
  </w:style>
  <w:style w:type="character" w:customStyle="1" w:styleId="Heading5Char">
    <w:name w:val="Heading 5 Char"/>
    <w:rPr>
      <w:rFonts w:ascii="Calibri" w:hAnsi="Calibri"/>
      <w:b/>
      <w:bCs/>
      <w:i/>
      <w:iCs/>
      <w:color w:val="0D0D0D"/>
      <w:sz w:val="26"/>
      <w:szCs w:val="26"/>
    </w:rPr>
  </w:style>
  <w:style w:type="character" w:customStyle="1" w:styleId="Heading6Char">
    <w:name w:val="Heading 6 Char"/>
    <w:rPr>
      <w:rFonts w:ascii="Calibri" w:hAnsi="Calibri"/>
      <w:b/>
      <w:bCs/>
      <w:color w:val="0D0D0D"/>
      <w:sz w:val="24"/>
      <w:szCs w:val="22"/>
    </w:rPr>
  </w:style>
  <w:style w:type="character" w:customStyle="1" w:styleId="Heading7Char">
    <w:name w:val="Heading 7 Char"/>
    <w:rPr>
      <w:rFonts w:ascii="Calibri" w:hAnsi="Calibri"/>
      <w:color w:val="0D0D0D"/>
      <w:sz w:val="24"/>
      <w:szCs w:val="24"/>
    </w:rPr>
  </w:style>
  <w:style w:type="character" w:customStyle="1" w:styleId="Heading8Char">
    <w:name w:val="Heading 8 Char"/>
    <w:rPr>
      <w:rFonts w:ascii="Calibri" w:hAnsi="Calibri"/>
      <w:i/>
      <w:iCs/>
      <w:color w:val="0D0D0D"/>
      <w:sz w:val="24"/>
      <w:szCs w:val="24"/>
    </w:rPr>
  </w:style>
  <w:style w:type="character" w:customStyle="1" w:styleId="Heading9Char">
    <w:name w:val="Heading 9 Char"/>
    <w:rPr>
      <w:rFonts w:ascii="Cambria" w:hAnsi="Cambria"/>
      <w:color w:val="0D0D0D"/>
      <w:sz w:val="24"/>
      <w:szCs w:val="22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  <w:rPr>
      <w:color w:val="0D0D0D"/>
      <w:sz w:val="24"/>
      <w:szCs w:val="24"/>
    </w:rPr>
  </w:style>
  <w:style w:type="paragraph" w:customStyle="1" w:styleId="TableHeader">
    <w:name w:val="TableHeader"/>
    <w:pPr>
      <w:suppressAutoHyphens/>
      <w:spacing w:before="60" w:after="60"/>
      <w:ind w:left="57" w:right="57"/>
      <w:jc w:val="center"/>
    </w:pPr>
    <w:rPr>
      <w:b/>
      <w:color w:val="0D0D0D"/>
      <w:sz w:val="24"/>
      <w:szCs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TableRow">
    <w:name w:val="TableRow"/>
    <w:pPr>
      <w:suppressAutoHyphens/>
      <w:spacing w:before="60" w:after="60"/>
      <w:ind w:left="57" w:right="57"/>
    </w:pPr>
    <w:rPr>
      <w:color w:val="0D0D0D"/>
      <w:sz w:val="24"/>
      <w:szCs w:val="24"/>
    </w:rPr>
  </w:style>
  <w:style w:type="character" w:customStyle="1" w:styleId="TableRowChar">
    <w:name w:val="TableRow Char"/>
    <w:rPr>
      <w:color w:val="0D0D0D"/>
      <w:sz w:val="24"/>
      <w:szCs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color w:val="0D0D0D"/>
      <w:sz w:val="24"/>
      <w:szCs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color w:val="0D0D0D"/>
      <w:sz w:val="24"/>
      <w:szCs w:val="24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FootnoteText">
    <w:name w:val="footnote text"/>
    <w:basedOn w:val="Normal"/>
    <w:pPr>
      <w:spacing w:after="6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customStyle="1" w:styleId="RGB">
    <w:name w:val="RGB"/>
    <w:basedOn w:val="DefaultParagraphFont"/>
    <w:rPr>
      <w:b/>
      <w:bCs/>
      <w:sz w:val="20"/>
    </w:rPr>
  </w:style>
  <w:style w:type="paragraph" w:customStyle="1" w:styleId="ColouredBoxHeadline">
    <w:name w:val="Coloured Box Headline"/>
    <w:basedOn w:val="Normal"/>
    <w:pPr>
      <w:spacing w:before="120"/>
    </w:pPr>
    <w:rPr>
      <w:b/>
      <w:bCs/>
      <w:sz w:val="28"/>
      <w:szCs w:val="20"/>
    </w:rPr>
  </w:style>
  <w:style w:type="character" w:customStyle="1" w:styleId="RGBValues">
    <w:name w:val="RGB Values"/>
    <w:basedOn w:val="DefaultParagraphFont"/>
    <w:rPr>
      <w:sz w:val="20"/>
    </w:rPr>
  </w:style>
  <w:style w:type="paragraph" w:styleId="ListBullet5">
    <w:name w:val="List Bullet 5"/>
    <w:basedOn w:val="Normal"/>
  </w:style>
  <w:style w:type="character" w:styleId="CommentReference">
    <w:name w:val="annotation reference"/>
    <w:basedOn w:val="DefaultParagraphFont"/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</w:rPr>
  </w:style>
  <w:style w:type="paragraph" w:customStyle="1" w:styleId="Centredembed">
    <w:name w:val="Centred embed"/>
    <w:basedOn w:val="Normal"/>
    <w:pPr>
      <w:spacing w:after="0"/>
      <w:jc w:val="center"/>
    </w:pPr>
    <w:rPr>
      <w:szCs w:val="20"/>
    </w:rPr>
  </w:style>
  <w:style w:type="paragraph" w:styleId="Date">
    <w:name w:val="Date"/>
    <w:basedOn w:val="Normal"/>
    <w:next w:val="Normal"/>
    <w:rPr>
      <w:rFonts w:cs="Arial"/>
      <w:b/>
      <w:bCs/>
      <w:color w:val="104F75"/>
      <w:sz w:val="44"/>
      <w:szCs w:val="44"/>
    </w:rPr>
  </w:style>
  <w:style w:type="character" w:customStyle="1" w:styleId="DateChar">
    <w:name w:val="Date Char"/>
    <w:basedOn w:val="DefaultParagraphFont"/>
    <w:rPr>
      <w:rFonts w:cs="Arial"/>
      <w:b/>
      <w:bCs/>
      <w:color w:val="104F75"/>
      <w:sz w:val="44"/>
      <w:szCs w:val="44"/>
    </w:rPr>
  </w:style>
  <w:style w:type="character" w:customStyle="1" w:styleId="SourceChar">
    <w:name w:val="Source Char"/>
    <w:basedOn w:val="DefaultParagraphFont"/>
  </w:style>
  <w:style w:type="paragraph" w:customStyle="1" w:styleId="Source">
    <w:name w:val="Source"/>
    <w:basedOn w:val="Normal"/>
    <w:pPr>
      <w:jc w:val="right"/>
    </w:pPr>
    <w:rPr>
      <w:sz w:val="20"/>
      <w:szCs w:val="20"/>
    </w:rPr>
  </w:style>
  <w:style w:type="paragraph" w:customStyle="1" w:styleId="DfESOutNumbered1">
    <w:name w:val="DfESOutNumbered1"/>
    <w:basedOn w:val="Normal"/>
    <w:pPr>
      <w:numPr>
        <w:numId w:val="3"/>
      </w:numPr>
    </w:pPr>
  </w:style>
  <w:style w:type="character" w:customStyle="1" w:styleId="DfESOutNumbered1Char">
    <w:name w:val="DfESOutNumbered1 Char"/>
    <w:rPr>
      <w:sz w:val="24"/>
      <w:szCs w:val="24"/>
    </w:rPr>
  </w:style>
  <w:style w:type="paragraph" w:customStyle="1" w:styleId="TableRowRight">
    <w:name w:val="TableRowRight"/>
    <w:basedOn w:val="TableRow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pPr>
      <w:jc w:val="center"/>
    </w:pPr>
    <w:rPr>
      <w:szCs w:val="20"/>
    </w:rPr>
  </w:style>
  <w:style w:type="paragraph" w:customStyle="1" w:styleId="SocialMedia">
    <w:name w:val="SocialMedia"/>
    <w:basedOn w:val="Normal"/>
    <w:pPr>
      <w:tabs>
        <w:tab w:val="left" w:pos="4253"/>
        <w:tab w:val="left" w:pos="4820"/>
      </w:tabs>
      <w:spacing w:after="0" w:line="240" w:lineRule="auto"/>
      <w:ind w:firstLine="34"/>
    </w:pPr>
  </w:style>
  <w:style w:type="paragraph" w:customStyle="1" w:styleId="Reference">
    <w:name w:val="Reference"/>
    <w:basedOn w:val="Normal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rPr>
      <w:sz w:val="24"/>
      <w:szCs w:val="24"/>
    </w:rPr>
  </w:style>
  <w:style w:type="paragraph" w:customStyle="1" w:styleId="Licence">
    <w:name w:val="Licence"/>
    <w:basedOn w:val="Normal"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rPr>
      <w:color w:val="0D0D0D"/>
      <w:sz w:val="24"/>
      <w:szCs w:val="24"/>
    </w:rPr>
  </w:style>
  <w:style w:type="paragraph" w:customStyle="1" w:styleId="LicenceIntro">
    <w:name w:val="LicenceIntro"/>
    <w:basedOn w:val="Licence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rPr>
      <w:sz w:val="24"/>
      <w:szCs w:val="24"/>
    </w:rPr>
  </w:style>
  <w:style w:type="paragraph" w:styleId="ListBullet2">
    <w:name w:val="List Bullet 2"/>
    <w:basedOn w:val="Normal"/>
    <w:pPr>
      <w:numPr>
        <w:numId w:val="6"/>
      </w:numPr>
      <w:tabs>
        <w:tab w:val="left" w:pos="491"/>
      </w:tabs>
      <w:contextualSpacing/>
    </w:pPr>
  </w:style>
  <w:style w:type="paragraph" w:customStyle="1" w:styleId="Logos">
    <w:name w:val="Logos"/>
    <w:basedOn w:val="Normal"/>
    <w:pPr>
      <w:pageBreakBefore/>
      <w:widowControl w:val="0"/>
    </w:pPr>
  </w:style>
  <w:style w:type="character" w:customStyle="1" w:styleId="LogosChar">
    <w:name w:val="Logos Char"/>
    <w:basedOn w:val="DefaultParagraphFont"/>
    <w:rPr>
      <w:color w:val="0D0D0D"/>
      <w:sz w:val="24"/>
      <w:szCs w:val="24"/>
    </w:rPr>
  </w:style>
  <w:style w:type="paragraph" w:styleId="ListBullet3">
    <w:name w:val="List Bullet 3"/>
    <w:basedOn w:val="Normal"/>
    <w:pPr>
      <w:numPr>
        <w:numId w:val="7"/>
      </w:numPr>
      <w:contextualSpacing/>
    </w:pPr>
  </w:style>
  <w:style w:type="paragraph" w:customStyle="1" w:styleId="DfESOutNumbered">
    <w:name w:val="DfESOutNumbered"/>
    <w:basedOn w:val="Normal"/>
    <w:pPr>
      <w:widowControl w:val="0"/>
      <w:numPr>
        <w:numId w:val="9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DfESOutNumberedChar">
    <w:name w:val="DfESOutNumbered Char"/>
    <w:basedOn w:val="LogosChar"/>
    <w:rPr>
      <w:rFonts w:cs="Arial"/>
      <w:color w:val="0D0D0D"/>
      <w:sz w:val="22"/>
      <w:szCs w:val="24"/>
      <w:lang w:eastAsia="en-US"/>
    </w:rPr>
  </w:style>
  <w:style w:type="paragraph" w:customStyle="1" w:styleId="DeptBullets">
    <w:name w:val="DeptBullets"/>
    <w:basedOn w:val="Normal"/>
    <w:pPr>
      <w:widowControl w:val="0"/>
      <w:numPr>
        <w:numId w:val="10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customStyle="1" w:styleId="DeptBulletsChar">
    <w:name w:val="DeptBullets Char"/>
    <w:basedOn w:val="LogosChar"/>
    <w:rPr>
      <w:color w:val="0D0D0D"/>
      <w:sz w:val="24"/>
      <w:szCs w:val="24"/>
      <w:lang w:eastAsia="en-US"/>
    </w:rPr>
  </w:style>
  <w:style w:type="paragraph" w:customStyle="1" w:styleId="TOCHeader">
    <w:name w:val="TOC Header"/>
    <w:pPr>
      <w:pageBreakBefore/>
      <w:suppressAutoHyphens/>
    </w:pPr>
    <w:rPr>
      <w:b/>
      <w:color w:val="104F75"/>
      <w:sz w:val="36"/>
      <w:szCs w:val="24"/>
    </w:rPr>
  </w:style>
  <w:style w:type="character" w:customStyle="1" w:styleId="TOCHeaderChar">
    <w:name w:val="TOC Header Char"/>
    <w:rPr>
      <w:b/>
      <w:color w:val="104F75"/>
      <w:sz w:val="36"/>
      <w:szCs w:val="24"/>
    </w:rPr>
  </w:style>
  <w:style w:type="paragraph" w:styleId="BodyTextIndent">
    <w:name w:val="Body Text Indent"/>
    <w:basedOn w:val="Normal"/>
    <w:pPr>
      <w:widowControl w:val="0"/>
      <w:overflowPunct w:val="0"/>
      <w:autoSpaceDE w:val="0"/>
      <w:spacing w:after="0" w:line="240" w:lineRule="auto"/>
      <w:ind w:left="288"/>
      <w:textAlignment w:val="baseline"/>
    </w:pPr>
    <w:rPr>
      <w:color w:val="auto"/>
      <w:szCs w:val="20"/>
      <w:lang w:eastAsia="en-US"/>
    </w:rPr>
  </w:style>
  <w:style w:type="character" w:customStyle="1" w:styleId="BodyTextIndentChar">
    <w:name w:val="Body Text Indent Char"/>
    <w:basedOn w:val="DefaultParagraphFont"/>
    <w:rPr>
      <w:sz w:val="24"/>
      <w:lang w:eastAsia="en-US"/>
    </w:rPr>
  </w:style>
  <w:style w:type="paragraph" w:customStyle="1" w:styleId="DeptOutNumbered">
    <w:name w:val="DeptOutNumbered"/>
    <w:basedOn w:val="Normal"/>
    <w:pPr>
      <w:widowControl w:val="0"/>
      <w:numPr>
        <w:numId w:val="11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paragraph" w:customStyle="1" w:styleId="Heading">
    <w:name w:val="Heading"/>
    <w:basedOn w:val="Normal"/>
    <w:next w:val="Normal"/>
    <w:pPr>
      <w:keepNext/>
      <w:keepLines/>
      <w:widowControl w:val="0"/>
      <w:overflowPunct w:val="0"/>
      <w:autoSpaceDE w:val="0"/>
      <w:spacing w:before="240" w:line="240" w:lineRule="auto"/>
      <w:ind w:left="-720"/>
      <w:textAlignment w:val="baseline"/>
    </w:pPr>
    <w:rPr>
      <w:b/>
      <w:color w:val="auto"/>
      <w:szCs w:val="20"/>
      <w:lang w:eastAsia="en-US"/>
    </w:rPr>
  </w:style>
  <w:style w:type="paragraph" w:customStyle="1" w:styleId="MinuteTop">
    <w:name w:val="Minute Top"/>
    <w:basedOn w:val="Normal"/>
    <w:pPr>
      <w:widowControl w:val="0"/>
      <w:tabs>
        <w:tab w:val="left" w:pos="4680"/>
        <w:tab w:val="left" w:pos="5587"/>
      </w:tabs>
      <w:overflowPunct w:val="0"/>
      <w:autoSpaceDE w:val="0"/>
      <w:spacing w:after="0" w:line="240" w:lineRule="auto"/>
      <w:textAlignment w:val="baseline"/>
    </w:pPr>
    <w:rPr>
      <w:color w:val="auto"/>
      <w:szCs w:val="20"/>
      <w:lang w:eastAsia="en-US"/>
    </w:rPr>
  </w:style>
  <w:style w:type="paragraph" w:customStyle="1" w:styleId="Numbered">
    <w:name w:val="Numbered"/>
    <w:basedOn w:val="Normal"/>
    <w:pPr>
      <w:widowControl w:val="0"/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styleId="PageNumber">
    <w:name w:val="page number"/>
    <w:basedOn w:val="DefaultParagraphFont"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pPr>
      <w:spacing w:before="0"/>
    </w:pPr>
  </w:style>
  <w:style w:type="paragraph" w:styleId="Subtitle">
    <w:name w:val="Subtitle"/>
    <w:basedOn w:val="Normal"/>
    <w:uiPriority w:val="11"/>
    <w:qFormat/>
    <w:pPr>
      <w:widowControl w:val="0"/>
      <w:overflowPunct w:val="0"/>
      <w:autoSpaceDE w:val="0"/>
      <w:spacing w:after="60" w:line="240" w:lineRule="auto"/>
      <w:jc w:val="center"/>
      <w:textAlignment w:val="baseline"/>
    </w:pPr>
    <w:rPr>
      <w:i/>
      <w:color w:val="auto"/>
      <w:szCs w:val="20"/>
      <w:lang w:eastAsia="en-US"/>
    </w:rPr>
  </w:style>
  <w:style w:type="character" w:customStyle="1" w:styleId="SubtitleChar">
    <w:name w:val="Subtitle Char"/>
    <w:basedOn w:val="DefaultParagraphFont"/>
    <w:rPr>
      <w:i/>
      <w:sz w:val="24"/>
      <w:lang w:eastAsia="en-US"/>
    </w:rPr>
  </w:style>
  <w:style w:type="paragraph" w:customStyle="1" w:styleId="DfESBullets">
    <w:name w:val="DfESBullets"/>
    <w:basedOn w:val="Normal"/>
    <w:pPr>
      <w:widowControl w:val="0"/>
      <w:numPr>
        <w:numId w:val="12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numbering" w:customStyle="1" w:styleId="WWOutlineListStyle">
    <w:name w:val="WW_OutlineListStyle"/>
    <w:basedOn w:val="NoList"/>
    <w:pPr>
      <w:numPr>
        <w:numId w:val="2"/>
      </w:numPr>
    </w:pPr>
  </w:style>
  <w:style w:type="numbering" w:customStyle="1" w:styleId="LFO3">
    <w:name w:val="LFO3"/>
    <w:basedOn w:val="NoList"/>
    <w:pPr>
      <w:numPr>
        <w:numId w:val="3"/>
      </w:numPr>
    </w:pPr>
  </w:style>
  <w:style w:type="numbering" w:customStyle="1" w:styleId="LFO4">
    <w:name w:val="LFO4"/>
    <w:basedOn w:val="NoList"/>
    <w:pPr>
      <w:numPr>
        <w:numId w:val="4"/>
      </w:numPr>
    </w:pPr>
  </w:style>
  <w:style w:type="numbering" w:customStyle="1" w:styleId="LFO6">
    <w:name w:val="LFO6"/>
    <w:basedOn w:val="NoList"/>
    <w:pPr>
      <w:numPr>
        <w:numId w:val="5"/>
      </w:numPr>
    </w:pPr>
  </w:style>
  <w:style w:type="numbering" w:customStyle="1" w:styleId="LFO9">
    <w:name w:val="LFO9"/>
    <w:basedOn w:val="NoList"/>
    <w:pPr>
      <w:numPr>
        <w:numId w:val="6"/>
      </w:numPr>
    </w:pPr>
  </w:style>
  <w:style w:type="numbering" w:customStyle="1" w:styleId="LFO10">
    <w:name w:val="LFO10"/>
    <w:basedOn w:val="NoList"/>
    <w:pPr>
      <w:numPr>
        <w:numId w:val="7"/>
      </w:numPr>
    </w:pPr>
  </w:style>
  <w:style w:type="numbering" w:customStyle="1" w:styleId="LFO25">
    <w:name w:val="LFO25"/>
    <w:basedOn w:val="NoList"/>
    <w:pPr>
      <w:numPr>
        <w:numId w:val="8"/>
      </w:numPr>
    </w:pPr>
  </w:style>
  <w:style w:type="numbering" w:customStyle="1" w:styleId="LFO28">
    <w:name w:val="LFO28"/>
    <w:basedOn w:val="NoList"/>
    <w:pPr>
      <w:numPr>
        <w:numId w:val="9"/>
      </w:numPr>
    </w:pPr>
  </w:style>
  <w:style w:type="numbering" w:customStyle="1" w:styleId="LFO30">
    <w:name w:val="LFO30"/>
    <w:basedOn w:val="NoList"/>
    <w:pPr>
      <w:numPr>
        <w:numId w:val="10"/>
      </w:numPr>
    </w:pPr>
  </w:style>
  <w:style w:type="numbering" w:customStyle="1" w:styleId="LFO34">
    <w:name w:val="LFO34"/>
    <w:basedOn w:val="NoList"/>
    <w:pPr>
      <w:numPr>
        <w:numId w:val="11"/>
      </w:numPr>
    </w:pPr>
  </w:style>
  <w:style w:type="numbering" w:customStyle="1" w:styleId="LFO36">
    <w:name w:val="LFO36"/>
    <w:basedOn w:val="NoList"/>
    <w:pPr>
      <w:numPr>
        <w:numId w:val="12"/>
      </w:numPr>
    </w:pPr>
  </w:style>
  <w:style w:type="paragraph" w:customStyle="1" w:styleId="DATTableHeader">
    <w:name w:val="DAT_TableHeader"/>
    <w:basedOn w:val="Normal"/>
    <w:uiPriority w:val="1"/>
    <w:qFormat/>
    <w:rsid w:val="00DA5515"/>
    <w:pPr>
      <w:suppressAutoHyphens w:val="0"/>
      <w:autoSpaceDN/>
      <w:spacing w:before="80" w:after="80" w:line="240" w:lineRule="auto"/>
    </w:pPr>
    <w:rPr>
      <w:rFonts w:asciiTheme="minorHAnsi" w:eastAsiaTheme="minorEastAsia" w:hAnsiTheme="minorHAnsi" w:cstheme="minorBidi"/>
      <w:b/>
      <w:noProof/>
      <w:color w:val="174489"/>
      <w:sz w:val="20"/>
      <w:szCs w:val="20"/>
    </w:rPr>
  </w:style>
  <w:style w:type="paragraph" w:customStyle="1" w:styleId="DATTableColHeader">
    <w:name w:val="DAT_TableColHeader"/>
    <w:basedOn w:val="Normal"/>
    <w:link w:val="DATTableColHeaderChar"/>
    <w:qFormat/>
    <w:rsid w:val="00C05B5B"/>
    <w:pPr>
      <w:suppressAutoHyphens w:val="0"/>
      <w:autoSpaceDN/>
      <w:spacing w:before="80" w:after="80" w:line="240" w:lineRule="auto"/>
    </w:pPr>
    <w:rPr>
      <w:rFonts w:asciiTheme="minorHAnsi" w:eastAsiaTheme="minorEastAsia" w:hAnsiTheme="minorHAnsi" w:cstheme="minorBidi"/>
      <w:b/>
      <w:noProof/>
      <w:color w:val="174489"/>
      <w:sz w:val="20"/>
      <w:szCs w:val="20"/>
    </w:rPr>
  </w:style>
  <w:style w:type="character" w:customStyle="1" w:styleId="DATTableColHeaderChar">
    <w:name w:val="DAT_TableColHeader Char"/>
    <w:basedOn w:val="DefaultParagraphFont"/>
    <w:link w:val="DATTableColHeader"/>
    <w:rsid w:val="00C05B5B"/>
    <w:rPr>
      <w:rFonts w:asciiTheme="minorHAnsi" w:eastAsiaTheme="minorEastAsia" w:hAnsiTheme="minorHAnsi" w:cstheme="minorBidi"/>
      <w:b/>
      <w:noProof/>
      <w:color w:val="174489"/>
    </w:rPr>
  </w:style>
  <w:style w:type="table" w:styleId="TableGrid">
    <w:name w:val="Table Grid"/>
    <w:basedOn w:val="TableNormal"/>
    <w:uiPriority w:val="39"/>
    <w:rsid w:val="005A3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ssets.publishing.service.gov.uk/government/uploads/system/uploads/attachment_data/file/897806/Maths_guidance_KS_1_and_2.pdf" TargetMode="External"/><Relationship Id="rId18" Type="http://schemas.openxmlformats.org/officeDocument/2006/relationships/hyperlink" Target="https://d2tic4wvo1iusb.cloudfront.net/eef-guidance-reports/literacy-ks3-ks4/EEF_KS3_KS4_LITERACY_GUIDANCE.pdf" TargetMode="External"/><Relationship Id="rId26" Type="http://schemas.openxmlformats.org/officeDocument/2006/relationships/hyperlink" Target="https://educationendowmentfoundation.org.uk/education-evidence/teaching-learning-toolkit" TargetMode="External"/><Relationship Id="rId21" Type="http://schemas.openxmlformats.org/officeDocument/2006/relationships/hyperlink" Target="https://educationendowmentfoundation.org.uk/evidence-summaries/teaching-learning-toolkit/phonics/" TargetMode="External"/><Relationship Id="rId34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educationendowmentfoundation.org.uk/evidence-summaries/teaching-learning-toolkit/phonics/" TargetMode="External"/><Relationship Id="rId17" Type="http://schemas.openxmlformats.org/officeDocument/2006/relationships/hyperlink" Target="https://assets.publishing.service.gov.uk/government/uploads/system/uploads/attachment_data/file/284286/reading_for_pleasure.pdf" TargetMode="External"/><Relationship Id="rId25" Type="http://schemas.openxmlformats.org/officeDocument/2006/relationships/hyperlink" Target="https://educationendowmentfoundation.org.uk/education-evidence/evidence-reviews/cognitive-science-approaches-in-the-classroom" TargetMode="External"/><Relationship Id="rId33" Type="http://schemas.openxmlformats.org/officeDocument/2006/relationships/hyperlink" Target="https://www.education.gov.scot/Documents/btc5-achievement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ducationendowmentfoundation.org.uk/education-evidence/teaching-learning-toolkit/feedback?utm_source=/education-evidence/teaching-learning-toolkit/feedback&amp;utm_medium=search&amp;utm_campaign=site_search&amp;search_term=feedbac" TargetMode="External"/><Relationship Id="rId20" Type="http://schemas.openxmlformats.org/officeDocument/2006/relationships/hyperlink" Target="https://educationendowmentfoundation.org.uk/education-evidence/early-years-toolkit/communication-and-language-approaches" TargetMode="External"/><Relationship Id="rId29" Type="http://schemas.openxmlformats.org/officeDocument/2006/relationships/hyperlink" Target="https://educationendowmentfoundation.org.uk/education-evidence/teaching-learning-toolkit/parental-engagemen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ducationendowmentfoundation.org.uk/evidence-summaries/teaching-learning-toolkit/oral-language-interventions/" TargetMode="External"/><Relationship Id="rId24" Type="http://schemas.openxmlformats.org/officeDocument/2006/relationships/hyperlink" Target="https://educationendowmentfoundation.org.uk/education-evidence/evidence-reviews/cognitive-science-approaches-in-the-classroom" TargetMode="External"/><Relationship Id="rId32" Type="http://schemas.openxmlformats.org/officeDocument/2006/relationships/hyperlink" Target="https://educationendowmentfoundation.org.uk/education-evidence/teaching-learning-toolkit/parental-engagement" TargetMode="Externa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educationendowmentfoundation.org.uk/education-evidence/evidence-reviews/early-years-and-key-stage-1-mathematics-teaching" TargetMode="External"/><Relationship Id="rId23" Type="http://schemas.openxmlformats.org/officeDocument/2006/relationships/hyperlink" Target="https://educationendowmentfoundation.org.uk/evidence-summaries/teaching-learning-toolkit/small-group-tuition/" TargetMode="External"/><Relationship Id="rId28" Type="http://schemas.openxmlformats.org/officeDocument/2006/relationships/hyperlink" Target="https://www.gov.uk/government/publications/school-attendance/framework-for-securing-full-attendance-actions-for-schools-and-local-authorities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educationendowmentfoundation.org.uk/education-evidence/teaching-learning-toolkit/feedback?utm_source=/education-evidence/teaching-learning-toolkit/feedback&amp;utm_medium=search&amp;utm_campaign=site_search&amp;search_term=feedbac" TargetMode="External"/><Relationship Id="rId19" Type="http://schemas.openxmlformats.org/officeDocument/2006/relationships/hyperlink" Target="https://educationendowmentfoundation.org.uk/education-evidence/teaching-learning-toolkit/oral-language-interventions" TargetMode="External"/><Relationship Id="rId31" Type="http://schemas.openxmlformats.org/officeDocument/2006/relationships/hyperlink" Target="https://educationendowmentfoundation.org.uk/education-evidence/teaching-learning-toolkit/arts-participat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ducationendowmentfoundation.org.uk/public/files/Publications/Maths/KS2_KS3_Maths_Guidance_2017.pdf" TargetMode="External"/><Relationship Id="rId22" Type="http://schemas.openxmlformats.org/officeDocument/2006/relationships/hyperlink" Target="https://educationendowmentfoundation.org.uk/education-evidence/teaching-learning-toolkit/one-to-one-tuition" TargetMode="External"/><Relationship Id="rId27" Type="http://schemas.openxmlformats.org/officeDocument/2006/relationships/hyperlink" Target="https://educationendowmentfoundation.org.uk/education-evidence/teaching-learning-toolkit/behaviour-interventions" TargetMode="External"/><Relationship Id="rId30" Type="http://schemas.openxmlformats.org/officeDocument/2006/relationships/hyperlink" Target="https://educationendowmentfoundation.org.uk/education-evidence/teaching-learning-toolkit/physical-activity" TargetMode="External"/><Relationship Id="rId35" Type="http://schemas.openxmlformats.org/officeDocument/2006/relationships/footer" Target="footer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A1E7F2785C37499DA7DC91A54CB844" ma:contentTypeVersion="11" ma:contentTypeDescription="Create a new document." ma:contentTypeScope="" ma:versionID="4dccf7937c0f8e00fd2a887ac8356ea7">
  <xsd:schema xmlns:xsd="http://www.w3.org/2001/XMLSchema" xmlns:xs="http://www.w3.org/2001/XMLSchema" xmlns:p="http://schemas.microsoft.com/office/2006/metadata/properties" xmlns:ns2="2279d056-33b9-4f8f-bc2a-1cddf1c92230" xmlns:ns3="ab11d4f3-9523-4a35-9733-028c7a346970" targetNamespace="http://schemas.microsoft.com/office/2006/metadata/properties" ma:root="true" ma:fieldsID="0d92a5868507b4e5368c0fa37bc89444" ns2:_="" ns3:_="">
    <xsd:import namespace="2279d056-33b9-4f8f-bc2a-1cddf1c92230"/>
    <xsd:import namespace="ab11d4f3-9523-4a35-9733-028c7a3469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9d056-33b9-4f8f-bc2a-1cddf1c92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1d4f3-9523-4a35-9733-028c7a3469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401B13-6EBB-4041-A7BA-149FF5874F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79d056-33b9-4f8f-bc2a-1cddf1c92230"/>
    <ds:schemaRef ds:uri="ab11d4f3-9523-4a35-9733-028c7a3469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AAEE10-09A8-4B40-A0A3-FA0410AB49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451A53-BCD5-41CC-87BD-8EB78E01FA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3876</Words>
  <Characters>22099</Characters>
  <Application>Microsoft Office Word</Application>
  <DocSecurity>0</DocSecurity>
  <Lines>184</Lines>
  <Paragraphs>51</Paragraphs>
  <ScaleCrop>false</ScaleCrop>
  <Company/>
  <LinksUpToDate>false</LinksUpToDate>
  <CharactersWithSpaces>25924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DfE external document template</dc:title>
  <dc:subject/>
  <dc:creator>Publishing.TEAM@education.gsi.gov.uk</dc:creator>
  <cp:keywords/>
  <dc:description>Master-ET-v3.8</dc:description>
  <cp:lastModifiedBy>R Greenwood - Staff - DAA</cp:lastModifiedBy>
  <cp:revision>514</cp:revision>
  <cp:lastPrinted>2014-09-17T21:26:00Z</cp:lastPrinted>
  <dcterms:created xsi:type="dcterms:W3CDTF">2021-11-01T18:14:00Z</dcterms:created>
  <dcterms:modified xsi:type="dcterms:W3CDTF">2022-12-05T11:39:00Z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0x010100BFA1E7F2785C37499DA7DC91A54CB844</vt:lpwstr>
  </property>
  <property fmtid="{D5CDD505-2E9C-101B-9397-08002B2CF9AE}" pid="4" name="IWPGroupOOB">
    <vt:lpwstr>Communications Directorate</vt:lpwstr>
  </property>
  <property fmtid="{D5CDD505-2E9C-101B-9397-08002B2CF9AE}" pid="5" name="_dlc_DocIdItemGuid">
    <vt:lpwstr>f1dd1af3-30bb-446e-af34-5327635f4b16</vt:lpwstr>
  </property>
  <property fmtid="{D5CDD505-2E9C-101B-9397-08002B2CF9AE}" pid="6" name="IWPOrganisationalUnit">
    <vt:lpwstr>3;#DfE|cc08a6d4-dfde-4d0f-bd85-069ebcef80d5</vt:lpwstr>
  </property>
  <property fmtid="{D5CDD505-2E9C-101B-9397-08002B2CF9AE}" pid="7" name="IWPOwner">
    <vt:lpwstr>1;#DfE|a484111e-5b24-4ad9-9778-c536c8c88985</vt:lpwstr>
  </property>
  <property fmtid="{D5CDD505-2E9C-101B-9397-08002B2CF9AE}" pid="8" name="IWPSubject">
    <vt:lpwstr/>
  </property>
  <property fmtid="{D5CDD505-2E9C-101B-9397-08002B2CF9AE}" pid="9" name="IWPFunction">
    <vt:lpwstr/>
  </property>
  <property fmtid="{D5CDD505-2E9C-101B-9397-08002B2CF9AE}" pid="10" name="IWPSiteType">
    <vt:lpwstr/>
  </property>
  <property fmtid="{D5CDD505-2E9C-101B-9397-08002B2CF9AE}" pid="11" name="IWPRightsProtectiveMarking">
    <vt:lpwstr>2;#Official|0884c477-2e62-47ea-b19c-5af6e91124c5</vt:lpwstr>
  </property>
  <property fmtid="{D5CDD505-2E9C-101B-9397-08002B2CF9AE}" pid="12" name="Site">
    <vt:lpwstr>22;#Communic​ati​ons|60b3cc5e-d979-4a7a-b73d-c058e341a548</vt:lpwstr>
  </property>
</Properties>
</file>